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D" w:rsidRDefault="00DD128D" w:rsidP="00DD128D">
      <w:pPr>
        <w:pStyle w:val="Heading1"/>
      </w:pPr>
      <w:r>
        <w:t>Whose Past? – Whose Present?</w:t>
      </w:r>
    </w:p>
    <w:p w:rsidR="00DD128D" w:rsidRDefault="00DD128D" w:rsidP="00DD128D">
      <w:pPr>
        <w:pStyle w:val="Heading2"/>
      </w:pPr>
      <w:r>
        <w:t>Tourism and Local History</w:t>
      </w:r>
    </w:p>
    <w:p w:rsidR="00DD128D" w:rsidRDefault="00DD128D" w:rsidP="00DD128D">
      <w:pPr>
        <w:pStyle w:val="Heading2"/>
      </w:pPr>
      <w:r>
        <w:t>Peter Macfie</w:t>
      </w:r>
    </w:p>
    <w:p w:rsidR="00DD128D" w:rsidRDefault="00DD128D" w:rsidP="00DD128D">
      <w:r>
        <w:t xml:space="preserve">In 1988 while working as historian for Port Arthur, I was fortunate to meet a group of twenty or so local people from the Tasman Peninsula who believed the Peninsula wasn't just Port Arthur - and that its post-convict history was as interesting as the earlier period. With the strong support of the local community (and council) our magazine, </w:t>
      </w:r>
      <w:r>
        <w:rPr>
          <w:i/>
          <w:iCs/>
        </w:rPr>
        <w:t>The Tasman Peninsula Chronicle</w:t>
      </w:r>
      <w:r w:rsidR="00AC2312">
        <w:rPr>
          <w:i/>
          <w:iCs/>
        </w:rPr>
        <w:fldChar w:fldCharType="begin"/>
      </w:r>
      <w:r w:rsidR="00AC2312">
        <w:instrText xml:space="preserve"> XE "</w:instrText>
      </w:r>
      <w:r w:rsidR="00AC2312" w:rsidRPr="003D16FD">
        <w:rPr>
          <w:i/>
          <w:iCs/>
        </w:rPr>
        <w:instrText>The Tasman Peninsula Chronicle</w:instrText>
      </w:r>
      <w:r w:rsidR="00AC2312">
        <w:instrText xml:space="preserve">" </w:instrText>
      </w:r>
      <w:r w:rsidR="00AC2312">
        <w:rPr>
          <w:i/>
          <w:iCs/>
        </w:rPr>
        <w:fldChar w:fldCharType="end"/>
      </w:r>
      <w:r>
        <w:rPr>
          <w:i/>
          <w:iCs/>
        </w:rPr>
        <w:t xml:space="preserve"> </w:t>
      </w:r>
      <w:r>
        <w:t>grew from a first issue of 200 to 600 for the fifth and sixth issues. The first two issues were reprinted. The group's self</w:t>
      </w:r>
      <w:r w:rsidR="00366576">
        <w:t>-</w:t>
      </w:r>
      <w:r>
        <w:t>confidence and pride in the district strengthened and it now plans to open a history room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rooms</w:instrText>
      </w:r>
      <w:r w:rsidR="00AC2312">
        <w:instrText xml:space="preserve">" </w:instrText>
      </w:r>
      <w:r w:rsidR="00AC2312">
        <w:fldChar w:fldCharType="end"/>
      </w:r>
      <w:r>
        <w:t xml:space="preserve"> at Nubeena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Nubeena</w:instrText>
      </w:r>
      <w:r w:rsidR="00AC2312">
        <w:instrText xml:space="preserve">" </w:instrText>
      </w:r>
      <w:r w:rsidR="00AC2312">
        <w:fldChar w:fldCharType="end"/>
      </w:r>
      <w:r>
        <w:t>. The magazine is keenly read and goes as far away as Queensland.</w:t>
      </w:r>
    </w:p>
    <w:p w:rsidR="00DD128D" w:rsidRDefault="00DD128D" w:rsidP="00DD128D">
      <w:r>
        <w:t>While the community put its history into words for the first time, at Port Art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Port Art</w:instrText>
      </w:r>
      <w:r w:rsidR="00592418">
        <w:instrText>hur</w:instrText>
      </w:r>
      <w:r w:rsidR="00AC2312">
        <w:instrText xml:space="preserve">" </w:instrText>
      </w:r>
      <w:r w:rsidR="00AC2312">
        <w:fldChar w:fldCharType="end"/>
      </w:r>
      <w:bookmarkStart w:id="0" w:name="_GoBack"/>
      <w:bookmarkEnd w:id="0"/>
      <w:r w:rsidR="00366576">
        <w:t xml:space="preserve"> </w:t>
      </w:r>
      <w:r>
        <w:t>Historic Site, under the new Management Authority, the presentation of history for</w:t>
      </w:r>
      <w:r w:rsidR="00366576">
        <w:t xml:space="preserve"> </w:t>
      </w:r>
      <w:r>
        <w:t>visitors and the promotion and handling of 170,000 people a year grew by trial and</w:t>
      </w:r>
      <w:r w:rsidR="00366576">
        <w:t xml:space="preserve"> </w:t>
      </w:r>
      <w:r>
        <w:t>error into an art form.</w:t>
      </w:r>
    </w:p>
    <w:p w:rsidR="00DD128D" w:rsidRDefault="00DD128D" w:rsidP="00DD128D">
      <w:r>
        <w:t>For the first time Port Arthur became marketed and promoted in a direct way,</w:t>
      </w:r>
      <w:r w:rsidR="00366576">
        <w:t xml:space="preserve"> </w:t>
      </w:r>
      <w:r>
        <w:t>and a toll-gate was put in place to pay for the forty or so staff. Promotion of the</w:t>
      </w:r>
      <w:r w:rsidR="00366576">
        <w:t xml:space="preserve"> </w:t>
      </w:r>
      <w:r>
        <w:t>site's history was taken out of the hands of locals and heritage professionals of the</w:t>
      </w:r>
      <w:r w:rsidR="00366576">
        <w:t xml:space="preserve"> </w:t>
      </w:r>
      <w:r>
        <w:t>previous Conservation Project and put in the hands of advertisers, as the site became</w:t>
      </w:r>
      <w:r w:rsidR="00366576">
        <w:t xml:space="preserve"> </w:t>
      </w:r>
      <w:r>
        <w:t>more important than ever as a marketable commodity. The training of the guides</w:t>
      </w:r>
      <w:r w:rsidR="00366576">
        <w:t xml:space="preserve"> </w:t>
      </w:r>
      <w:r>
        <w:t>for whom I was responsible, and the knowledge they accumulated, was also seen as</w:t>
      </w:r>
      <w:r w:rsidR="00366576">
        <w:t xml:space="preserve"> </w:t>
      </w:r>
      <w:r>
        <w:t>a commodity. To attract visitors, new discoveries in historical research were eagerly</w:t>
      </w:r>
      <w:r w:rsidR="00366576">
        <w:t xml:space="preserve"> </w:t>
      </w:r>
      <w:r>
        <w:t>grabbed by journalists, anxious for 'new copy', and promoted both nationally and</w:t>
      </w:r>
      <w:r w:rsidR="00366576">
        <w:t xml:space="preserve"> </w:t>
      </w:r>
      <w:r>
        <w:t>overseas.</w:t>
      </w:r>
    </w:p>
    <w:p w:rsidR="00DD128D" w:rsidRDefault="00DD128D" w:rsidP="00DD128D">
      <w:r>
        <w:t>The contrast between the love and enthusiasm of the local history group, where</w:t>
      </w:r>
      <w:r w:rsidR="00366576">
        <w:t xml:space="preserve"> </w:t>
      </w:r>
      <w:r>
        <w:t>locals talked and reminisced, and the pressures of a high profile historic site raises</w:t>
      </w:r>
      <w:r w:rsidR="00366576">
        <w:t xml:space="preserve"> </w:t>
      </w:r>
      <w:r>
        <w:t>questions about our positions and responsibilities as keepers of the past and the threat</w:t>
      </w:r>
      <w:r w:rsidR="00366576">
        <w:t xml:space="preserve"> </w:t>
      </w:r>
      <w:r>
        <w:t>to history from so-called 'heritage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heritage tourism</w:instrText>
      </w:r>
      <w:r w:rsidR="00AC2312">
        <w:instrText xml:space="preserve">" </w:instrText>
      </w:r>
      <w:r w:rsidR="00AC2312">
        <w:fldChar w:fldCharType="end"/>
      </w:r>
      <w:r>
        <w:t>'.</w:t>
      </w:r>
    </w:p>
    <w:p w:rsidR="00366576" w:rsidRDefault="00DD128D" w:rsidP="00DD128D">
      <w:r>
        <w:t>Neil Cossons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Cossons, Neil</w:instrText>
      </w:r>
      <w:r w:rsidR="00AC2312">
        <w:instrText xml:space="preserve">" </w:instrText>
      </w:r>
      <w:r w:rsidR="00AC2312">
        <w:fldChar w:fldCharType="end"/>
      </w:r>
      <w:r>
        <w:t>, Director of the London Science Museum, asks 'can truth survive</w:t>
      </w:r>
      <w:r w:rsidR="00366576">
        <w:t xml:space="preserve"> </w:t>
      </w:r>
      <w:r>
        <w:t>the pressures of a disposable income and the power of the tourist industry? Both</w:t>
      </w:r>
      <w:r w:rsidR="00366576">
        <w:t xml:space="preserve"> </w:t>
      </w:r>
      <w:r>
        <w:t>generate wealth but they challenge those</w:t>
      </w:r>
      <w:r w:rsidR="001627D8">
        <w:t xml:space="preserve"> who aspire to purvey the truth’</w:t>
      </w:r>
      <w:r w:rsidR="001627D8">
        <w:rPr>
          <w:rStyle w:val="FootnoteReference"/>
        </w:rPr>
        <w:footnoteReference w:id="1"/>
      </w:r>
      <w:r>
        <w:t>. What will</w:t>
      </w:r>
      <w:r w:rsidR="00366576">
        <w:t xml:space="preserve"> </w:t>
      </w:r>
      <w:r>
        <w:t>our approach be? Speaking on the economics of truth, Cossons observes:</w:t>
      </w:r>
    </w:p>
    <w:p w:rsidR="00DD128D" w:rsidRDefault="00DD128D" w:rsidP="00366576">
      <w:pPr>
        <w:pStyle w:val="Normalquote"/>
        <w:rPr>
          <w:sz w:val="12"/>
          <w:szCs w:val="12"/>
        </w:rPr>
      </w:pPr>
      <w:r>
        <w:t>Our job as interpreters (historians and preservers) stems primarily from a range</w:t>
      </w:r>
      <w:r w:rsidR="00366576">
        <w:t xml:space="preserve"> </w:t>
      </w:r>
      <w:r>
        <w:t>of qualitative values ... and manifest themselves from the consumers' point of</w:t>
      </w:r>
      <w:r w:rsidR="00366576">
        <w:t xml:space="preserve"> </w:t>
      </w:r>
      <w:r>
        <w:t>view in terms of truths ... Some will say that truth will wither away when the</w:t>
      </w:r>
      <w:r w:rsidR="00366576">
        <w:t xml:space="preserve"> </w:t>
      </w:r>
      <w:r>
        <w:t>user pays; a cheap thrill will be more tempting than authoritative interpretation</w:t>
      </w:r>
      <w:r w:rsidR="00366576">
        <w:t xml:space="preserve"> </w:t>
      </w:r>
      <w:r>
        <w:t>based on sound scholarship.</w:t>
      </w:r>
      <w:r w:rsidR="001627D8">
        <w:rPr>
          <w:rStyle w:val="FootnoteReference"/>
        </w:rPr>
        <w:footnoteReference w:id="2"/>
      </w:r>
    </w:p>
    <w:p w:rsidR="00DD128D" w:rsidRDefault="00DD128D" w:rsidP="00DD128D">
      <w:r>
        <w:t>As others have noted, there is a desperate need for passion in the interpretation of</w:t>
      </w:r>
      <w:r w:rsidR="00366576">
        <w:t xml:space="preserve"> </w:t>
      </w:r>
      <w:r>
        <w:t>our history. 'Our history', Uzzell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Uzzell, David</w:instrText>
      </w:r>
      <w:r w:rsidR="00AC2312">
        <w:instrText xml:space="preserve">" </w:instrText>
      </w:r>
      <w:r w:rsidR="00AC2312">
        <w:fldChar w:fldCharType="end"/>
      </w:r>
      <w:r>
        <w:t xml:space="preserve"> feels, 'is in danger from within - from the history</w:t>
      </w:r>
      <w:r w:rsidR="00366576">
        <w:t xml:space="preserve"> </w:t>
      </w:r>
      <w:r>
        <w:t xml:space="preserve">industry itself, </w:t>
      </w:r>
      <w:r>
        <w:lastRenderedPageBreak/>
        <w:t>due to the abandonment or compromising on the values of stewardship,</w:t>
      </w:r>
      <w:r w:rsidR="00366576">
        <w:t xml:space="preserve"> </w:t>
      </w:r>
      <w:r>
        <w:t>scholarship and the sense of identity wherein lies the true worth of heritage'.</w:t>
      </w:r>
      <w:r w:rsidR="001627D8">
        <w:rPr>
          <w:rStyle w:val="FootnoteReference"/>
        </w:rPr>
        <w:footnoteReference w:id="3"/>
      </w:r>
    </w:p>
    <w:p w:rsidR="00DD128D" w:rsidRDefault="00DD128D" w:rsidP="00DD128D">
      <w:r>
        <w:t>Images of Tasmanian history are being created by advertising agencies and sold</w:t>
      </w:r>
      <w:r w:rsidR="00366576">
        <w:t xml:space="preserve"> </w:t>
      </w:r>
      <w:r>
        <w:t>by state government promotion campaigns without any contribution from historians</w:t>
      </w:r>
      <w:r w:rsidR="00366576">
        <w:t xml:space="preserve"> </w:t>
      </w:r>
      <w:r>
        <w:t>or local history societies. Yet the image being conveyed 'sells' an impression of the</w:t>
      </w:r>
      <w:r w:rsidR="00366576">
        <w:t xml:space="preserve"> </w:t>
      </w:r>
      <w:r>
        <w:t>past which will have an impact on local communities, particularly in the expectations</w:t>
      </w:r>
      <w:r w:rsidR="00366576">
        <w:t xml:space="preserve"> </w:t>
      </w:r>
      <w:r>
        <w:t>of tourists. A current report prepared for Tourism Tasmania highlighting the financial</w:t>
      </w:r>
      <w:r w:rsidR="00366576">
        <w:t xml:space="preserve"> </w:t>
      </w:r>
      <w:r>
        <w:t>value of cultural tourism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cultural tourism</w:instrText>
      </w:r>
      <w:r w:rsidR="00AC2312">
        <w:instrText xml:space="preserve">" </w:instrText>
      </w:r>
      <w:r w:rsidR="00AC2312">
        <w:fldChar w:fldCharType="end"/>
      </w:r>
      <w:r>
        <w:t xml:space="preserve"> indicates that the promotion of the island as a cultural tourist</w:t>
      </w:r>
      <w:r w:rsidR="00366576">
        <w:t xml:space="preserve"> </w:t>
      </w:r>
      <w:r>
        <w:t>destination is underway.</w:t>
      </w:r>
    </w:p>
    <w:p w:rsidR="00DD128D" w:rsidRDefault="00DD128D" w:rsidP="00366576">
      <w:pPr>
        <w:pStyle w:val="Normalquote"/>
      </w:pPr>
      <w:r>
        <w:t>Cultural tourism can also contribute to the cultural vitality of local communities,</w:t>
      </w:r>
      <w:r w:rsidR="00366576">
        <w:t xml:space="preserve"> </w:t>
      </w:r>
      <w:r>
        <w:t>by identifying, documenting, upgrading and promoting local cultural resources</w:t>
      </w:r>
      <w:r w:rsidR="00366576">
        <w:t xml:space="preserve"> </w:t>
      </w:r>
      <w:r>
        <w:t>for their own enjoyment. In fact, it will be essential to involve them in the process</w:t>
      </w:r>
      <w:r w:rsidR="00366576">
        <w:t xml:space="preserve"> </w:t>
      </w:r>
      <w:r>
        <w:t>of product development. Much of the cultural heritage of a region resides in the</w:t>
      </w:r>
      <w:r w:rsidR="00366576">
        <w:t xml:space="preserve"> </w:t>
      </w:r>
      <w:r>
        <w:t>memories of its older residents or families and it is this input which makes it</w:t>
      </w:r>
      <w:r w:rsidR="00366576">
        <w:t xml:space="preserve"> </w:t>
      </w:r>
      <w:r>
        <w:t>come alive.</w:t>
      </w:r>
    </w:p>
    <w:p w:rsidR="00DD128D" w:rsidRDefault="00DD128D" w:rsidP="00366576">
      <w:pPr>
        <w:pStyle w:val="Normalquote"/>
      </w:pPr>
      <w:r>
        <w:t>Festivals or fairs related to the specific economic or cultural activities of a region</w:t>
      </w:r>
      <w:r w:rsidR="00366576">
        <w:t xml:space="preserve"> </w:t>
      </w:r>
      <w:r>
        <w:t>are an excellent way of promoting both local and visitor enjoyment of a community's</w:t>
      </w:r>
      <w:r w:rsidR="00366576">
        <w:t xml:space="preserve"> </w:t>
      </w:r>
      <w:r>
        <w:t>cultural resources.</w:t>
      </w:r>
    </w:p>
    <w:p w:rsidR="00DD128D" w:rsidRDefault="00DD128D" w:rsidP="00366576">
      <w:pPr>
        <w:pStyle w:val="Normalquote"/>
        <w:rPr>
          <w:sz w:val="11"/>
          <w:szCs w:val="11"/>
        </w:rPr>
      </w:pPr>
      <w:r>
        <w:t>Those experiences which are offered under the cultural tourism banner need</w:t>
      </w:r>
      <w:r w:rsidR="00366576">
        <w:t xml:space="preserve"> </w:t>
      </w:r>
      <w:r>
        <w:t>to be selected on the basis that they are unique, have drawing power, can be</w:t>
      </w:r>
      <w:r w:rsidR="00366576">
        <w:t xml:space="preserve"> </w:t>
      </w:r>
      <w:r>
        <w:t>managed in a way which is sustainable and can be provided with a high standard</w:t>
      </w:r>
      <w:r w:rsidR="00366576">
        <w:t xml:space="preserve"> </w:t>
      </w:r>
      <w:r>
        <w:t>of interpretation.</w:t>
      </w:r>
      <w:r w:rsidR="001627D8">
        <w:rPr>
          <w:rStyle w:val="FootnoteReference"/>
        </w:rPr>
        <w:footnoteReference w:id="4"/>
      </w:r>
    </w:p>
    <w:p w:rsidR="00DD128D" w:rsidRDefault="00DD128D" w:rsidP="00DD128D">
      <w:r>
        <w:t>History, it seems, 'is gradually being bent into something called heritage', where an</w:t>
      </w:r>
      <w:r w:rsidR="00366576">
        <w:t xml:space="preserve"> </w:t>
      </w:r>
      <w:r>
        <w:t>image of the past becomes the reality, and the past becomes fixed and separate from</w:t>
      </w:r>
      <w:r w:rsidR="00366576">
        <w:t xml:space="preserve"> </w:t>
      </w:r>
      <w:r>
        <w:t>us. One author argues that 'our cultural knowle</w:t>
      </w:r>
      <w:r w:rsidR="00366576">
        <w:t>d</w:t>
      </w:r>
      <w:r>
        <w:t>ge of the past and understanding of</w:t>
      </w:r>
      <w:r w:rsidR="00366576">
        <w:t xml:space="preserve"> </w:t>
      </w:r>
      <w:r>
        <w:t>history is weakened at all levels from the universities to the primary schools '. No</w:t>
      </w:r>
      <w:r w:rsidR="00366576">
        <w:t xml:space="preserve"> </w:t>
      </w:r>
      <w:r>
        <w:t xml:space="preserve">historical training is at present provided for people working in the heritage field, </w:t>
      </w:r>
      <w:r w:rsidR="00366576">
        <w:t xml:space="preserve">including </w:t>
      </w:r>
      <w:r>
        <w:t>park rangers and guides at historic sites or travel agents - though moves to establish</w:t>
      </w:r>
      <w:r w:rsidR="00366576">
        <w:t xml:space="preserve"> </w:t>
      </w:r>
      <w:r>
        <w:t>a course in Public History are currently being pursued. While primary, secondary</w:t>
      </w:r>
      <w:r w:rsidR="00366576">
        <w:t xml:space="preserve"> </w:t>
      </w:r>
      <w:r>
        <w:t>and tertiary curricula have, in the main, been neglecting Tasmanian history, membership</w:t>
      </w:r>
      <w:r w:rsidR="00366576">
        <w:t xml:space="preserve"> </w:t>
      </w:r>
      <w:r>
        <w:t>of genealogical societies and local history groups has grown rapidly.</w:t>
      </w:r>
    </w:p>
    <w:p w:rsidR="00DD128D" w:rsidRDefault="00DD128D" w:rsidP="00DD128D">
      <w:r>
        <w:t>Once history has received the 'high gloss of presentation' from the new breed of</w:t>
      </w:r>
      <w:r w:rsidR="00366576">
        <w:t xml:space="preserve"> </w:t>
      </w:r>
      <w:r>
        <w:t>'heritage managers' who succeed in presenting a curiously unified image there is no</w:t>
      </w:r>
      <w:r w:rsidR="00366576">
        <w:t xml:space="preserve"> </w:t>
      </w:r>
      <w:r>
        <w:t>'change, conflict and clashes of interest are neutralised' and there are no winners and</w:t>
      </w:r>
      <w:r w:rsidR="00366576">
        <w:t xml:space="preserve"> </w:t>
      </w:r>
      <w:r>
        <w:t>losers.</w:t>
      </w:r>
      <w:r w:rsidR="00E81931">
        <w:rPr>
          <w:rStyle w:val="FootnoteReference"/>
        </w:rPr>
        <w:footnoteReference w:id="5"/>
      </w:r>
    </w:p>
    <w:p w:rsidR="00DD128D" w:rsidRDefault="00DD128D" w:rsidP="00DD128D">
      <w:r>
        <w:t>The attraction of tourism for groups involved in local history and museums is the</w:t>
      </w:r>
      <w:r w:rsidR="00366576">
        <w:t xml:space="preserve"> </w:t>
      </w:r>
      <w:r>
        <w:t>possibility of receiving some funding for a history room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rooms</w:instrText>
      </w:r>
      <w:r w:rsidR="00AC2312">
        <w:instrText xml:space="preserve">" </w:instrText>
      </w:r>
      <w:r w:rsidR="00AC2312">
        <w:fldChar w:fldCharType="end"/>
      </w:r>
      <w:r>
        <w:t xml:space="preserve"> and the advantage of keeping</w:t>
      </w:r>
      <w:r w:rsidR="00366576">
        <w:t xml:space="preserve"> </w:t>
      </w:r>
      <w:r>
        <w:t>visitors overnight in local accommodation, a point considered very favourably by local</w:t>
      </w:r>
      <w:r w:rsidR="00366576">
        <w:t xml:space="preserve"> </w:t>
      </w:r>
      <w:r>
        <w:t>councils and businesses. But how are we to guarantee we don't lose our integrity</w:t>
      </w:r>
      <w:r w:rsidR="00366576">
        <w:t xml:space="preserve"> </w:t>
      </w:r>
      <w:r>
        <w:t>and enthusiasm if our local history is to become a pawn in the tourism game?</w:t>
      </w:r>
    </w:p>
    <w:p w:rsidR="00DD128D" w:rsidRDefault="00DD128D" w:rsidP="00DD128D">
      <w:r>
        <w:t>The danger is we are losing what we revere in Tasmania, while still trying to come</w:t>
      </w:r>
      <w:r w:rsidR="00366576">
        <w:t xml:space="preserve"> </w:t>
      </w:r>
      <w:r>
        <w:t>to terms with and unravel the past and our own attitudes to it. We are being pressured</w:t>
      </w:r>
      <w:r w:rsidR="00366576">
        <w:t xml:space="preserve"> </w:t>
      </w:r>
      <w:r>
        <w:t>to grasp a gimmick here and a yarn there to draw more and more tourists, but there</w:t>
      </w:r>
      <w:r w:rsidR="00366576">
        <w:t xml:space="preserve"> </w:t>
      </w:r>
      <w:r>
        <w:t>is a great danger we will swamp the goose that lays the golden egg. As unemployment</w:t>
      </w:r>
      <w:r w:rsidR="00366576">
        <w:t xml:space="preserve"> </w:t>
      </w:r>
      <w:r>
        <w:t>and financial pressures push Australians to seek meaning from the past, there is a</w:t>
      </w:r>
      <w:r w:rsidR="00366576">
        <w:t xml:space="preserve"> </w:t>
      </w:r>
      <w:r>
        <w:t>danger that the past will be ransacked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theft</w:instrText>
      </w:r>
      <w:r w:rsidR="00AC2312">
        <w:instrText xml:space="preserve">" </w:instrText>
      </w:r>
      <w:r w:rsidR="00AC2312">
        <w:fldChar w:fldCharType="end"/>
      </w:r>
      <w:r>
        <w:t xml:space="preserve"> instead. In the search for family roots extra</w:t>
      </w:r>
      <w:r w:rsidR="00366576">
        <w:t xml:space="preserve"> </w:t>
      </w:r>
      <w:r>
        <w:t>strain on heritage resources is caused by tourist promoters and governments increasing</w:t>
      </w:r>
      <w:r w:rsidR="00366576">
        <w:t xml:space="preserve"> </w:t>
      </w:r>
      <w:r>
        <w:t>the number of visitors who invade the locals' back-yard. The small-scale image of</w:t>
      </w:r>
      <w:r w:rsidR="00366576">
        <w:t xml:space="preserve"> </w:t>
      </w:r>
      <w:r>
        <w:t>Tasmania, where people have time to talk to strangers, is replaced by the concentrated</w:t>
      </w:r>
      <w:r w:rsidR="00366576">
        <w:t xml:space="preserve"> </w:t>
      </w:r>
      <w:r>
        <w:t>effort to cope with fewer 'buyers' yet more 'lookers and touchers' (as many non-paying</w:t>
      </w:r>
      <w:r w:rsidR="00366576">
        <w:t xml:space="preserve"> </w:t>
      </w:r>
      <w:r>
        <w:t>tourists are known) - seen by locals as not worth talking to.</w:t>
      </w:r>
    </w:p>
    <w:p w:rsidR="00DD128D" w:rsidRDefault="00DD128D" w:rsidP="00DD128D">
      <w:r>
        <w:t>With limited funds, time and resources, historical societies and museums (and</w:t>
      </w:r>
      <w:r w:rsidR="00366576">
        <w:t xml:space="preserve"> </w:t>
      </w:r>
      <w:r>
        <w:t>occasionally the university) portray a version of Tasmania's past to the community.</w:t>
      </w:r>
      <w:r w:rsidR="00366576">
        <w:t xml:space="preserve"> </w:t>
      </w:r>
      <w:r>
        <w:t>Meanwhile, the tourist industry, via the media, is promoting a set view of what Tasmanian</w:t>
      </w:r>
      <w:r w:rsidR="00366576">
        <w:t xml:space="preserve"> </w:t>
      </w:r>
      <w:r>
        <w:t>history is all about. This may be seen in posters and promotional material produced</w:t>
      </w:r>
      <w:r w:rsidR="00366576">
        <w:t xml:space="preserve"> </w:t>
      </w:r>
      <w:r>
        <w:t>for marketing by Tourism Tasmania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Tourism Tasmania</w:instrText>
      </w:r>
      <w:r w:rsidR="00AC2312">
        <w:instrText xml:space="preserve">" </w:instrText>
      </w:r>
      <w:r w:rsidR="00AC2312">
        <w:fldChar w:fldCharType="end"/>
      </w:r>
      <w:r>
        <w:t>. All current posters and brochure photos are</w:t>
      </w:r>
      <w:r w:rsidR="00366576">
        <w:t xml:space="preserve"> </w:t>
      </w:r>
      <w:r>
        <w:t>devoid o</w:t>
      </w:r>
      <w:r w:rsidR="00366576">
        <w:t>f people - pretty pictures. ·'N</w:t>
      </w:r>
      <w:r>
        <w:t>aturally Tasmanian' says the caption to a view</w:t>
      </w:r>
      <w:r w:rsidR="00366576">
        <w:t xml:space="preserve"> </w:t>
      </w:r>
      <w:r>
        <w:t>of the penitentiary at Port Arthur, the erection of which was a most un-natural act!</w:t>
      </w:r>
      <w:r w:rsidR="00366576">
        <w:t xml:space="preserve"> </w:t>
      </w:r>
      <w:r>
        <w:t>Until recently the Tassie Devil, complete with ball and chain, snarled, 'You Want</w:t>
      </w:r>
      <w:r w:rsidR="00366576">
        <w:t xml:space="preserve"> History?’</w:t>
      </w:r>
    </w:p>
    <w:p w:rsidR="00DD128D" w:rsidRDefault="00DD128D" w:rsidP="00DD128D">
      <w:r>
        <w:t>Who is responsible for this portrayal? A number of bodies - government, commercial</w:t>
      </w:r>
      <w:r w:rsidR="00366576">
        <w:t xml:space="preserve"> </w:t>
      </w:r>
      <w:r>
        <w:t>and voluntary - interact to present the public face of history. The main co-ordinator</w:t>
      </w:r>
      <w:r w:rsidR="00366576">
        <w:t xml:space="preserve"> </w:t>
      </w:r>
      <w:r>
        <w:t>is the state government's Tourism Tasmania, though overseas promotion is co-ordinated</w:t>
      </w:r>
      <w:r w:rsidR="00366576">
        <w:t xml:space="preserve"> </w:t>
      </w:r>
      <w:r>
        <w:t>by the Australian Tourist Commission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Australian Tourist Commission</w:instrText>
      </w:r>
      <w:r w:rsidR="00AC2312">
        <w:instrText xml:space="preserve">" </w:instrText>
      </w:r>
      <w:r w:rsidR="00AC2312">
        <w:fldChar w:fldCharType="end"/>
      </w:r>
      <w:r>
        <w:t xml:space="preserve"> based in Sydney. Both bodies use in-house</w:t>
      </w:r>
      <w:r w:rsidR="00366576">
        <w:t xml:space="preserve"> </w:t>
      </w:r>
      <w:r>
        <w:t>and freelance journalists, particularly travel writers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travel writers</w:instrText>
      </w:r>
      <w:r w:rsidR="00AC2312">
        <w:instrText xml:space="preserve">" </w:instrText>
      </w:r>
      <w:r w:rsidR="00AC2312">
        <w:fldChar w:fldCharType="end"/>
      </w:r>
      <w:r>
        <w:t>. The journalists have their own</w:t>
      </w:r>
      <w:r w:rsidR="00366576">
        <w:t xml:space="preserve"> </w:t>
      </w:r>
      <w:r>
        <w:t>organisations (such as the Pacific Travel Writers Association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Pacific Travel Writers Association</w:instrText>
      </w:r>
      <w:r w:rsidR="00AC2312">
        <w:instrText xml:space="preserve">" </w:instrText>
      </w:r>
      <w:r w:rsidR="00AC2312">
        <w:fldChar w:fldCharType="end"/>
      </w:r>
      <w:r>
        <w:t>) and hold regular regional</w:t>
      </w:r>
      <w:r w:rsidR="00366576">
        <w:t xml:space="preserve"> </w:t>
      </w:r>
      <w:r>
        <w:t>conferences where they are wined and dined by tourist departments as their columns</w:t>
      </w:r>
      <w:r w:rsidR="00366576">
        <w:t xml:space="preserve"> </w:t>
      </w:r>
      <w:r>
        <w:t>offer free promotion of tourist destinations.</w:t>
      </w:r>
    </w:p>
    <w:p w:rsidR="00DD128D" w:rsidRDefault="00DD128D" w:rsidP="00DD128D">
      <w:pPr>
        <w:rPr>
          <w:rFonts w:ascii="Arial" w:hAnsi="Arial" w:cs="Arial"/>
          <w:sz w:val="11"/>
          <w:szCs w:val="11"/>
        </w:rPr>
      </w:pPr>
      <w:r>
        <w:t>Tourism Tasmania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Tourism Tasmania</w:instrText>
      </w:r>
      <w:r w:rsidR="00AC2312">
        <w:instrText xml:space="preserve">" </w:instrText>
      </w:r>
      <w:r w:rsidR="00AC2312">
        <w:fldChar w:fldCharType="end"/>
      </w:r>
      <w:r>
        <w:t xml:space="preserve"> works with local tourist associations to push for new attractions</w:t>
      </w:r>
      <w:r w:rsidR="00366576">
        <w:t xml:space="preserve"> </w:t>
      </w:r>
      <w:r>
        <w:t>to draw visitors to stay (and spend) in a particular locality. Local tourist operators</w:t>
      </w:r>
      <w:r w:rsidR="00366576">
        <w:t xml:space="preserve"> </w:t>
      </w:r>
      <w:r>
        <w:t>are organised into five regional bodies. Tourism Tasmania meets regularly with these</w:t>
      </w:r>
      <w:r w:rsidR="00366576">
        <w:t xml:space="preserve"> </w:t>
      </w:r>
      <w:r>
        <w:t>groups. Divided into three sections (marketing, retail and wholesale), the department</w:t>
      </w:r>
      <w:r w:rsidR="00366576">
        <w:t xml:space="preserve"> </w:t>
      </w:r>
      <w:r>
        <w:t>analyses trends in tourism - 'products' in industry parlance - and promotes (markets)</w:t>
      </w:r>
      <w:r w:rsidR="00366576">
        <w:t xml:space="preserve"> </w:t>
      </w:r>
      <w:r>
        <w:t>them accordingly. The packaging of tours is organised by the product section based</w:t>
      </w:r>
      <w:r w:rsidR="00366576">
        <w:t xml:space="preserve"> </w:t>
      </w:r>
      <w:r>
        <w:t>in Launceston. Publicity is organised through Marketing-International. The Australian</w:t>
      </w:r>
      <w:r w:rsidR="00366576">
        <w:t xml:space="preserve"> </w:t>
      </w:r>
      <w:r>
        <w:t>Tourism Commission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Australian Tourism Commission</w:instrText>
      </w:r>
      <w:r w:rsidR="00AC2312">
        <w:instrText xml:space="preserve">" </w:instrText>
      </w:r>
      <w:r w:rsidR="00AC2312">
        <w:fldChar w:fldCharType="end"/>
      </w:r>
      <w:r>
        <w:t xml:space="preserve"> plans and executes international promotion of Australian</w:t>
      </w:r>
      <w:r w:rsidR="00366576">
        <w:t xml:space="preserve"> </w:t>
      </w:r>
      <w:r>
        <w:t>'attractions'. (Port Arthur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Port Arthur</w:instrText>
      </w:r>
      <w:r w:rsidR="00AC2312">
        <w:instrText xml:space="preserve">" </w:instrText>
      </w:r>
      <w:r w:rsidR="00AC2312">
        <w:fldChar w:fldCharType="end"/>
      </w:r>
      <w:r>
        <w:t xml:space="preserve"> has been filmed for this body, and a semi-accurate version</w:t>
      </w:r>
      <w:r w:rsidR="00366576">
        <w:t xml:space="preserve"> </w:t>
      </w:r>
      <w:r>
        <w:t>of the site's history sent overseas.) A regular Tasmanian newsletter is sent interstate</w:t>
      </w:r>
      <w:r w:rsidR="00366576">
        <w:t xml:space="preserve"> </w:t>
      </w:r>
      <w:r>
        <w:t>and overseas to promote new ideas and ventures.</w:t>
      </w:r>
      <w:r w:rsidR="00E81931">
        <w:rPr>
          <w:rStyle w:val="FootnoteReference"/>
        </w:rPr>
        <w:footnoteReference w:id="6"/>
      </w:r>
    </w:p>
    <w:p w:rsidR="00DD128D" w:rsidRDefault="00DD128D" w:rsidP="00DD128D">
      <w:r>
        <w:t>The push toward cultural tourism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cultural tourism</w:instrText>
      </w:r>
      <w:r w:rsidR="00AC2312">
        <w:instrText xml:space="preserve">" </w:instrText>
      </w:r>
      <w:r w:rsidR="00AC2312">
        <w:fldChar w:fldCharType="end"/>
      </w:r>
      <w:r>
        <w:t xml:space="preserve"> will mean museums, historical societies and</w:t>
      </w:r>
      <w:r w:rsidR="00366576">
        <w:t xml:space="preserve"> </w:t>
      </w:r>
      <w:r>
        <w:t>professionals will be in greater demand, and under greater pressure. At present these</w:t>
      </w:r>
      <w:r w:rsidR="00366576">
        <w:t xml:space="preserve"> </w:t>
      </w:r>
      <w:r>
        <w:t>societies - and local communities - are passive receivers of the tourist influx. The</w:t>
      </w:r>
      <w:r w:rsidR="00366576">
        <w:t xml:space="preserve"> </w:t>
      </w:r>
      <w:r>
        <w:t>cultural tourist offers much potential to these groups. Only the Colonial Accommodation</w:t>
      </w:r>
      <w:r w:rsidR="00366576">
        <w:t xml:space="preserve"> </w:t>
      </w:r>
      <w:r>
        <w:t>Group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Colonial Accommodation Group</w:instrText>
      </w:r>
      <w:r w:rsidR="00AC2312">
        <w:instrText xml:space="preserve">" </w:instrText>
      </w:r>
      <w:r w:rsidR="00AC2312">
        <w:fldChar w:fldCharType="end"/>
      </w:r>
      <w:r>
        <w:t xml:space="preserve"> is a ready user of the publicity machine offered by Tourism Tasmania. The</w:t>
      </w:r>
      <w:r w:rsidR="00366576">
        <w:t xml:space="preserve"> </w:t>
      </w:r>
      <w:r>
        <w:t>recent success of the sixth Australian Genealogical Congress in Launceston gave an</w:t>
      </w:r>
      <w:r w:rsidR="00366576">
        <w:t xml:space="preserve"> </w:t>
      </w:r>
      <w:r>
        <w:t>indication of the level of interest in family history and also the economic benefits</w:t>
      </w:r>
      <w:r w:rsidR="00366576">
        <w:t xml:space="preserve"> </w:t>
      </w:r>
      <w:r>
        <w:t>of cultural tourism.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cultural tourism</w:instrText>
      </w:r>
      <w:r w:rsidR="00AC2312">
        <w:instrText xml:space="preserve">" </w:instrText>
      </w:r>
      <w:r w:rsidR="00AC2312">
        <w:fldChar w:fldCharType="end"/>
      </w:r>
      <w:r>
        <w:t xml:space="preserve"> The congress was handled by a professional convention organiser,</w:t>
      </w:r>
      <w:r w:rsidR="00366576">
        <w:t xml:space="preserve"> </w:t>
      </w:r>
      <w:r>
        <w:t>perhaps the first time this type of conference has been so organised.</w:t>
      </w:r>
    </w:p>
    <w:p w:rsidR="00DD128D" w:rsidRDefault="00DD128D" w:rsidP="00DD128D">
      <w:r>
        <w:rPr>
          <w:rFonts w:ascii="Arial" w:hAnsi="Arial" w:cs="Arial"/>
          <w:sz w:val="19"/>
          <w:szCs w:val="19"/>
        </w:rPr>
        <w:t xml:space="preserve">If </w:t>
      </w:r>
      <w:r>
        <w:t>local history societies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local history societies</w:instrText>
      </w:r>
      <w:r w:rsidR="00AC2312">
        <w:instrText xml:space="preserve">" </w:instrText>
      </w:r>
      <w:r w:rsidR="00AC2312">
        <w:fldChar w:fldCharType="end"/>
      </w:r>
      <w:r>
        <w:t xml:space="preserve"> are to get involved in promotion, they need to decide what</w:t>
      </w:r>
      <w:r w:rsidR="003D471F">
        <w:t xml:space="preserve"> </w:t>
      </w:r>
      <w:r>
        <w:t>they want to say about our heritage - what services they will offer. Will copyright</w:t>
      </w:r>
      <w:r w:rsidR="003D471F">
        <w:t xml:space="preserve"> </w:t>
      </w:r>
      <w:r>
        <w:t>apply (to photos for example)? Will charges be made for access to the search room?</w:t>
      </w:r>
      <w:r w:rsidR="003D471F">
        <w:t xml:space="preserve"> </w:t>
      </w:r>
      <w:r>
        <w:t>Will</w:t>
      </w:r>
      <w:r w:rsidR="003D471F">
        <w:t xml:space="preserve"> access be given to private recor</w:t>
      </w:r>
      <w:r>
        <w:t>ds?</w:t>
      </w:r>
    </w:p>
    <w:p w:rsidR="00DD128D" w:rsidRDefault="00DD128D" w:rsidP="00DD128D">
      <w:r>
        <w:t>How are local history societies to respond to these demands and what is their role?</w:t>
      </w:r>
      <w:r w:rsidR="003D471F">
        <w:t xml:space="preserve"> </w:t>
      </w:r>
      <w:r>
        <w:t>Apart from conserving records, photographs and memories, these societies can and</w:t>
      </w:r>
      <w:r w:rsidR="003D471F">
        <w:t xml:space="preserve"> </w:t>
      </w:r>
      <w:r>
        <w:t>should act as honest brokers, recording, interpreting and presenting history with a</w:t>
      </w:r>
      <w:r w:rsidR="003D471F">
        <w:t xml:space="preserve"> </w:t>
      </w:r>
      <w:r>
        <w:t>local face. But where should the emphasis lie? Surely the main object should be to</w:t>
      </w:r>
      <w:r w:rsidR="003D471F">
        <w:t xml:space="preserve"> </w:t>
      </w:r>
      <w:r>
        <w:t>document the community's history, to keep the soul of the district, which is after</w:t>
      </w:r>
      <w:r w:rsidR="003D471F">
        <w:t xml:space="preserve"> </w:t>
      </w:r>
      <w:r>
        <w:t>all what the visitors love about the island.</w:t>
      </w:r>
    </w:p>
    <w:p w:rsidR="00DD128D" w:rsidRDefault="00DD128D" w:rsidP="00DD128D">
      <w:r>
        <w:t>At present however, Tasmanian history is in danger of being hijacked by entrepreneurs</w:t>
      </w:r>
      <w:r w:rsidR="003D471F">
        <w:t xml:space="preserve"> </w:t>
      </w:r>
      <w:r>
        <w:t>from the more crass section of the so-called cultural tourist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cultural tourism</w:instrText>
      </w:r>
      <w:r w:rsidR="00AC2312">
        <w:instrText xml:space="preserve">" </w:instrText>
      </w:r>
      <w:r w:rsidR="00AC2312">
        <w:fldChar w:fldCharType="end"/>
      </w:r>
      <w:r>
        <w:t xml:space="preserve"> industry. The impact of</w:t>
      </w:r>
      <w:r w:rsidR="003D471F">
        <w:t xml:space="preserve"> </w:t>
      </w:r>
      <w:r>
        <w:t>tourism is permanently changing local communities and their historic buildings.</w:t>
      </w:r>
      <w:r w:rsidR="003D471F">
        <w:t xml:space="preserve"> </w:t>
      </w:r>
      <w:r>
        <w:t>Renovation leads to concrete in stables and ice-cream shops in the bars of old pubs.</w:t>
      </w:r>
      <w:r w:rsidR="003D471F">
        <w:t xml:space="preserve"> </w:t>
      </w:r>
      <w:r>
        <w:t>Local collections can too easily be selectively pillaged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theft</w:instrText>
      </w:r>
      <w:r w:rsidR="00AC2312">
        <w:instrText xml:space="preserve">" </w:instrText>
      </w:r>
      <w:r w:rsidR="00AC2312">
        <w:fldChar w:fldCharType="end"/>
      </w:r>
      <w:r>
        <w:t>. Images presented by the media</w:t>
      </w:r>
      <w:r w:rsidR="003D471F">
        <w:t xml:space="preserve"> </w:t>
      </w:r>
      <w:r>
        <w:t>are not necessarily those which the local history group or descendants or even the</w:t>
      </w:r>
      <w:r w:rsidR="003D471F">
        <w:t xml:space="preserve"> </w:t>
      </w:r>
      <w:r>
        <w:t>local tourism industry wants. Furniture, documents and artefacts are leaving the state</w:t>
      </w:r>
      <w:r w:rsidR="003D471F">
        <w:t xml:space="preserve"> </w:t>
      </w:r>
      <w:r>
        <w:t>unrecorded.</w:t>
      </w:r>
    </w:p>
    <w:p w:rsidR="00DD128D" w:rsidRDefault="00DD128D" w:rsidP="00DD128D">
      <w:r>
        <w:t>Tasmania is in danger of presenting a series of 'quaint towns' which bear little difference</w:t>
      </w:r>
      <w:r w:rsidR="003D471F">
        <w:t xml:space="preserve"> </w:t>
      </w:r>
      <w:r>
        <w:t>from one another. Very little is made of the unique 'timber-towns' which post-date</w:t>
      </w:r>
      <w:r w:rsidR="003D471F">
        <w:t xml:space="preserve"> </w:t>
      </w:r>
      <w:r>
        <w:t>the convict era and say so much about the way we evolved as a community. Historical</w:t>
      </w:r>
      <w:r w:rsidR="003D471F">
        <w:t xml:space="preserve"> </w:t>
      </w:r>
      <w:r>
        <w:t>societies need to decide which aspects of their district are unique and, with continued</w:t>
      </w:r>
      <w:r w:rsidR="003D471F">
        <w:t xml:space="preserve"> </w:t>
      </w:r>
      <w:r>
        <w:t xml:space="preserve">research, to discover new and varied history for the sake of the district </w:t>
      </w:r>
      <w:r>
        <w:rPr>
          <w:i/>
          <w:iCs/>
          <w:sz w:val="19"/>
          <w:szCs w:val="19"/>
        </w:rPr>
        <w:t xml:space="preserve">first </w:t>
      </w:r>
      <w:r>
        <w:t>and the</w:t>
      </w:r>
      <w:r w:rsidR="003D471F">
        <w:t xml:space="preserve"> </w:t>
      </w:r>
      <w:r>
        <w:t xml:space="preserve">visitor </w:t>
      </w:r>
      <w:r>
        <w:rPr>
          <w:i/>
          <w:iCs/>
          <w:sz w:val="19"/>
          <w:szCs w:val="19"/>
        </w:rPr>
        <w:t xml:space="preserve">second </w:t>
      </w:r>
      <w:r>
        <w:rPr>
          <w:sz w:val="19"/>
          <w:szCs w:val="19"/>
        </w:rPr>
        <w:t xml:space="preserve">- </w:t>
      </w:r>
      <w:r>
        <w:t>not the reverse. This is not to suggest that truths about the district</w:t>
      </w:r>
      <w:r w:rsidR="003D471F">
        <w:t xml:space="preserve"> </w:t>
      </w:r>
      <w:r>
        <w:t>should be brushed under the carpet.</w:t>
      </w:r>
    </w:p>
    <w:p w:rsidR="00DD128D" w:rsidRDefault="00DD128D" w:rsidP="00DD128D">
      <w:r>
        <w:t>In towns such as Richmond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Richmond</w:instrText>
      </w:r>
      <w:r w:rsidR="00AC2312">
        <w:instrText xml:space="preserve">" </w:instrText>
      </w:r>
      <w:r w:rsidR="00AC2312">
        <w:fldChar w:fldCharType="end"/>
      </w:r>
      <w:r>
        <w:t xml:space="preserve"> - despite the local tourist committee's claims of it</w:t>
      </w:r>
      <w:r w:rsidR="003D471F">
        <w:t xml:space="preserve"> </w:t>
      </w:r>
      <w:r>
        <w:t>being unchanged by tourism - the service function to the local community has been</w:t>
      </w:r>
      <w:r w:rsidR="003D471F">
        <w:t xml:space="preserve"> </w:t>
      </w:r>
      <w:r>
        <w:t>replaced by the tourist operators' needs, with the old locals feeling alienated and the</w:t>
      </w:r>
      <w:r w:rsidR="003D471F">
        <w:t xml:space="preserve"> </w:t>
      </w:r>
      <w:r>
        <w:t>village overcrowded with cars and visitors. The 'loss of local ownership or control'</w:t>
      </w:r>
      <w:r w:rsidR="003D471F">
        <w:t xml:space="preserve"> </w:t>
      </w:r>
      <w:r>
        <w:t>(and the need for a more professional approach) has been identified as a common</w:t>
      </w:r>
      <w:r w:rsidR="003D471F">
        <w:t xml:space="preserve"> </w:t>
      </w:r>
      <w:r>
        <w:t>problem when tourism becomes dominant over other traditional forms of employment.</w:t>
      </w:r>
      <w:r w:rsidR="00C9072E">
        <w:rPr>
          <w:rStyle w:val="FootnoteReference"/>
        </w:rPr>
        <w:footnoteReference w:id="7"/>
      </w:r>
      <w:r w:rsidR="00C9072E">
        <w:rPr>
          <w:color w:val="FF0000"/>
          <w:sz w:val="13"/>
          <w:szCs w:val="13"/>
        </w:rPr>
        <w:t xml:space="preserve"> </w:t>
      </w:r>
      <w:r>
        <w:t>Traditional crafts which become mere tourist attractions, rather than necessities, become</w:t>
      </w:r>
      <w:r w:rsidR="003D471F">
        <w:t xml:space="preserve"> </w:t>
      </w:r>
      <w:r>
        <w:t xml:space="preserve">devalued in the eyes of the locals. </w:t>
      </w:r>
      <w:r>
        <w:rPr>
          <w:rFonts w:ascii="Arial" w:hAnsi="Arial" w:cs="Arial"/>
          <w:sz w:val="19"/>
          <w:szCs w:val="19"/>
        </w:rPr>
        <w:t xml:space="preserve">If </w:t>
      </w:r>
      <w:r>
        <w:t>locals do not have a say in their district, then</w:t>
      </w:r>
      <w:r w:rsidR="003D471F">
        <w:t xml:space="preserve"> </w:t>
      </w:r>
      <w:r>
        <w:t>authenticity is threatened and tourism will suffer in the long term.</w:t>
      </w:r>
      <w:r w:rsidR="00C9072E">
        <w:rPr>
          <w:rStyle w:val="FootnoteReference"/>
        </w:rPr>
        <w:footnoteReference w:id="8"/>
      </w:r>
      <w:r>
        <w:t xml:space="preserve"> Catering for tourists</w:t>
      </w:r>
      <w:r w:rsidR="003D471F">
        <w:t xml:space="preserve"> </w:t>
      </w:r>
      <w:r>
        <w:t>often leads to a neglect of facilities for locals, a problem noticed in the historic Victorian</w:t>
      </w:r>
      <w:r w:rsidR="003D471F">
        <w:t xml:space="preserve"> </w:t>
      </w:r>
      <w:r>
        <w:t>town of Beechworth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Beechworth</w:instrText>
      </w:r>
      <w:r w:rsidR="00AC2312">
        <w:instrText xml:space="preserve">" </w:instrText>
      </w:r>
      <w:r w:rsidR="00AC2312">
        <w:fldChar w:fldCharType="end"/>
      </w:r>
      <w:r>
        <w:t xml:space="preserve"> by 1906 and similarly felt by Tasman Peninsula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Tasman Peninsula</w:instrText>
      </w:r>
      <w:r w:rsidR="00AC2312">
        <w:instrText xml:space="preserve">" </w:instrText>
      </w:r>
      <w:r w:rsidR="00AC2312">
        <w:fldChar w:fldCharType="end"/>
      </w:r>
      <w:r>
        <w:t xml:space="preserve"> residents living</w:t>
      </w:r>
      <w:r w:rsidR="003D471F">
        <w:t xml:space="preserve"> </w:t>
      </w:r>
      <w:r>
        <w:t>outside Port Arthur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Port Arthur</w:instrText>
      </w:r>
      <w:r w:rsidR="00AC2312">
        <w:instrText xml:space="preserve">" </w:instrText>
      </w:r>
      <w:r w:rsidR="00AC2312">
        <w:fldChar w:fldCharType="end"/>
      </w:r>
      <w:r>
        <w:t>.</w:t>
      </w:r>
      <w:r w:rsidR="00C9072E">
        <w:rPr>
          <w:rStyle w:val="FootnoteReference"/>
        </w:rPr>
        <w:footnoteReference w:id="9"/>
      </w:r>
    </w:p>
    <w:p w:rsidR="00DD128D" w:rsidRDefault="00DD128D" w:rsidP="00DD128D">
      <w:r>
        <w:t>Some towns, such as Ballarat and Bendigo, have been content to keep the district's</w:t>
      </w:r>
      <w:r w:rsidR="003D471F">
        <w:t xml:space="preserve"> </w:t>
      </w:r>
      <w:r>
        <w:t>history in one centre while outside the real world is allowed to fall into disrepair</w:t>
      </w:r>
      <w:r w:rsidR="003D471F">
        <w:t xml:space="preserve"> </w:t>
      </w:r>
      <w:r>
        <w:t>and old buildings are altered, demolished or clad with signs and brick-board. This</w:t>
      </w:r>
      <w:r w:rsidR="003D471F">
        <w:t xml:space="preserve"> </w:t>
      </w:r>
      <w:r>
        <w:t>has been the effect of Sovereign Hill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Sovereign Hill</w:instrText>
      </w:r>
      <w:r w:rsidR="00AC2312">
        <w:instrText xml:space="preserve">" </w:instrText>
      </w:r>
      <w:r w:rsidR="00AC2312">
        <w:fldChar w:fldCharType="end"/>
      </w:r>
      <w:r>
        <w:t>, Ballarat,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Ballarat</w:instrText>
      </w:r>
      <w:r w:rsidR="00AC2312">
        <w:instrText xml:space="preserve">" </w:instrText>
      </w:r>
      <w:r w:rsidR="00AC2312">
        <w:fldChar w:fldCharType="end"/>
      </w:r>
      <w:r>
        <w:t xml:space="preserve"> and the Folk Museum at Burnie.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Burnie</w:instrText>
      </w:r>
      <w:r w:rsidR="00AC2312">
        <w:instrText xml:space="preserve">" </w:instrText>
      </w:r>
      <w:r w:rsidR="00AC2312">
        <w:fldChar w:fldCharType="end"/>
      </w:r>
      <w:r>
        <w:t xml:space="preserve"> Other</w:t>
      </w:r>
      <w:r w:rsidR="003D471F">
        <w:t xml:space="preserve"> </w:t>
      </w:r>
      <w:r>
        <w:t>towns have become so ugly and the sense of the past so remote that brick walls</w:t>
      </w:r>
      <w:r w:rsidR="003D471F">
        <w:t xml:space="preserve"> </w:t>
      </w:r>
      <w:r>
        <w:t>have to be covered with large murals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murals</w:instrText>
      </w:r>
      <w:r w:rsidR="00AC2312">
        <w:instrText xml:space="preserve">" </w:instrText>
      </w:r>
      <w:r w:rsidR="00AC2312">
        <w:fldChar w:fldCharType="end"/>
      </w:r>
      <w:r>
        <w:t>. The collecting together of items for an apple</w:t>
      </w:r>
      <w:r w:rsidR="003D471F">
        <w:t xml:space="preserve"> </w:t>
      </w:r>
      <w:r>
        <w:t>or wool industry or folk museum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folk museum</w:instrText>
      </w:r>
      <w:r w:rsidR="00AC2312">
        <w:instrText xml:space="preserve">s" </w:instrText>
      </w:r>
      <w:r w:rsidR="00AC2312">
        <w:fldChar w:fldCharType="end"/>
      </w:r>
      <w:r>
        <w:t xml:space="preserve"> should not mean the neglect of the rest of the</w:t>
      </w:r>
      <w:r w:rsidR="003D471F">
        <w:t xml:space="preserve"> </w:t>
      </w:r>
      <w:r>
        <w:t>district's buildings and landscapes and family history. (The Ross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Ross</w:instrText>
      </w:r>
      <w:r w:rsidR="00AC2312">
        <w:instrText xml:space="preserve">" </w:instrText>
      </w:r>
      <w:r w:rsidR="00AC2312">
        <w:fldChar w:fldCharType="end"/>
      </w:r>
      <w:r>
        <w:t xml:space="preserve"> district is a good</w:t>
      </w:r>
      <w:r w:rsidR="003D471F">
        <w:t xml:space="preserve"> </w:t>
      </w:r>
      <w:r>
        <w:t>example of a combination of the two.)</w:t>
      </w:r>
    </w:p>
    <w:p w:rsidR="00DD128D" w:rsidRDefault="00DD128D" w:rsidP="00DD128D">
      <w:pPr>
        <w:rPr>
          <w:sz w:val="18"/>
          <w:szCs w:val="18"/>
        </w:rPr>
      </w:pPr>
      <w:r>
        <w:t>Government is reluctant to recognise the conflict which is seen potentially to interfere</w:t>
      </w:r>
      <w:r w:rsidR="003D471F">
        <w:t xml:space="preserve"> </w:t>
      </w:r>
      <w:r>
        <w:t>with the tourist bonanza. A recent (1989) report on tourism by the Commonwealth</w:t>
      </w:r>
      <w:r w:rsidR="003D471F">
        <w:t xml:space="preserve"> </w:t>
      </w:r>
      <w:r>
        <w:t>devoted only three pages to the issue, yet two-thirds of the submissions dealt with</w:t>
      </w:r>
      <w:r w:rsidR="003D471F">
        <w:t xml:space="preserve"> </w:t>
      </w:r>
      <w:r>
        <w:t>the problem.</w:t>
      </w:r>
      <w:r w:rsidR="00C9072E">
        <w:rPr>
          <w:rStyle w:val="FootnoteReference"/>
        </w:rPr>
        <w:footnoteReference w:id="10"/>
      </w:r>
      <w:r>
        <w:rPr>
          <w:sz w:val="17"/>
          <w:szCs w:val="17"/>
        </w:rPr>
        <w:t xml:space="preserve"> </w:t>
      </w:r>
      <w:r>
        <w:t>Such development tends to destabilise a community, with tourist</w:t>
      </w:r>
      <w:r w:rsidR="003D471F">
        <w:t xml:space="preserve"> </w:t>
      </w:r>
      <w:r>
        <w:t>businesses often subject to regular changes of ownership as investment requires the</w:t>
      </w:r>
      <w:r w:rsidR="003D471F">
        <w:t xml:space="preserve"> </w:t>
      </w:r>
      <w:r>
        <w:t>proprietor to acquire capital gain and then move on. Apart from the many tourists,</w:t>
      </w:r>
      <w:r w:rsidR="003D471F">
        <w:t xml:space="preserve"> </w:t>
      </w:r>
      <w:r>
        <w:t>locals stop trying to recognise familiar faces in the streets and behind the counter.</w:t>
      </w:r>
    </w:p>
    <w:p w:rsidR="00DD128D" w:rsidRDefault="00DD128D" w:rsidP="00DD128D">
      <w:r>
        <w:t>This wider role pre-supposes an active interest by the local history society in municipal</w:t>
      </w:r>
      <w:r w:rsidR="003D471F">
        <w:t xml:space="preserve"> </w:t>
      </w:r>
      <w:r>
        <w:t>and state government decisions affecting the district's history - whether school curricula,</w:t>
      </w:r>
      <w:r w:rsidR="003D471F">
        <w:t xml:space="preserve"> </w:t>
      </w:r>
      <w:r>
        <w:t>buildings, record collecting, oral history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oral history</w:instrText>
      </w:r>
      <w:r w:rsidR="00AC2312">
        <w:instrText xml:space="preserve">" </w:instrText>
      </w:r>
      <w:r w:rsidR="00AC2312">
        <w:fldChar w:fldCharType="end"/>
      </w:r>
      <w:r>
        <w:t xml:space="preserve"> recording, town planning or road widening.</w:t>
      </w:r>
      <w:r w:rsidR="003D471F">
        <w:t xml:space="preserve"> </w:t>
      </w:r>
      <w:r>
        <w:t>After all, history is not just 'what we keep', it is also what is destroyed or neglected</w:t>
      </w:r>
      <w:r w:rsidR="003D471F">
        <w:t xml:space="preserve"> </w:t>
      </w:r>
      <w:r>
        <w:t>(whether old people, records or buildings) and these decisions are often taken out</w:t>
      </w:r>
      <w:r w:rsidR="003D471F">
        <w:t xml:space="preserve"> </w:t>
      </w:r>
      <w:r>
        <w:t>of the hands of locals, unless they make their voices heard. Are we going to be active</w:t>
      </w:r>
      <w:r w:rsidR="003D471F">
        <w:t xml:space="preserve"> </w:t>
      </w:r>
      <w:r>
        <w:t>historical societies or mere nostalgia societies, content to live with memories and</w:t>
      </w:r>
      <w:r w:rsidR="003D471F">
        <w:t xml:space="preserve"> </w:t>
      </w:r>
      <w:r>
        <w:t>photographs?</w:t>
      </w:r>
    </w:p>
    <w:p w:rsidR="00DD128D" w:rsidRDefault="00DD128D" w:rsidP="00DD128D">
      <w:r>
        <w:t>We should see our role as keepers of the past as a wide responsibility. Apart from</w:t>
      </w:r>
      <w:r w:rsidR="003D471F">
        <w:t xml:space="preserve"> </w:t>
      </w:r>
      <w:r>
        <w:t>anything else, bad planning decisions can result in the historic/tourist/financial value</w:t>
      </w:r>
      <w:r w:rsidR="003D471F">
        <w:t xml:space="preserve"> </w:t>
      </w:r>
      <w:r>
        <w:t>of a town or adjacent buildings being lowered in value. Such was the case when</w:t>
      </w:r>
      <w:r w:rsidR="003D471F">
        <w:t xml:space="preserve"> </w:t>
      </w:r>
      <w:r>
        <w:t>the Koonya Church Committee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Koonya Church Committee</w:instrText>
      </w:r>
      <w:r w:rsidR="00AC2312">
        <w:instrText xml:space="preserve">" </w:instrText>
      </w:r>
      <w:r w:rsidR="00AC2312">
        <w:fldChar w:fldCharType="end"/>
      </w:r>
      <w:r>
        <w:t xml:space="preserve"> on Tasman Peninsula originally planned to replace</w:t>
      </w:r>
      <w:r w:rsidR="003D471F">
        <w:t xml:space="preserve"> </w:t>
      </w:r>
      <w:r>
        <w:t>its decayed weatherboards with aluminium. The Tasman Peninsula Historical Society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The Tasman Peninsula Historical Society</w:instrText>
      </w:r>
      <w:r w:rsidR="00AC2312">
        <w:instrText xml:space="preserve">" </w:instrText>
      </w:r>
      <w:r w:rsidR="00AC2312">
        <w:fldChar w:fldCharType="end"/>
      </w:r>
      <w:r>
        <w:t>'</w:t>
      </w:r>
      <w:r w:rsidR="003D471F">
        <w:t xml:space="preserve">s </w:t>
      </w:r>
      <w:r>
        <w:t>concern resulted in an offer of financial assistance and in the end a local craftsman</w:t>
      </w:r>
      <w:r w:rsidR="003D471F">
        <w:t xml:space="preserve"> </w:t>
      </w:r>
      <w:r>
        <w:t>replaced the old boards for free.</w:t>
      </w:r>
    </w:p>
    <w:p w:rsidR="00DD128D" w:rsidRDefault="00DD128D" w:rsidP="00DD128D">
      <w:r>
        <w:t>Not all issues will be agreed upon. The decision to appeal against the proposed</w:t>
      </w:r>
      <w:r w:rsidR="003D471F">
        <w:t xml:space="preserve"> </w:t>
      </w:r>
      <w:r>
        <w:t>road-house development in front of the small weatherboard Military Officers' Quarters</w:t>
      </w:r>
      <w:r w:rsidR="003D471F">
        <w:t xml:space="preserve"> </w:t>
      </w:r>
      <w:r>
        <w:t>at Eaglehawk Neck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Eaglehawk Neck</w:instrText>
      </w:r>
      <w:r w:rsidR="00AC2312">
        <w:instrText xml:space="preserve">" </w:instrText>
      </w:r>
      <w:r w:rsidR="00AC2312">
        <w:fldChar w:fldCharType="end"/>
      </w:r>
      <w:r>
        <w:t xml:space="preserve"> (the oldest timber military building in Australia), caused controversy</w:t>
      </w:r>
      <w:r w:rsidR="003D471F">
        <w:t xml:space="preserve"> </w:t>
      </w:r>
      <w:r>
        <w:t>within the Peninsula group. However, the effect of the organised lobbying finally</w:t>
      </w:r>
      <w:r w:rsidR="003D471F">
        <w:t xml:space="preserve"> </w:t>
      </w:r>
      <w:r>
        <w:t>'persuaded' the government to acquire the cottage.</w:t>
      </w:r>
    </w:p>
    <w:p w:rsidR="00DD128D" w:rsidRDefault="00DD128D" w:rsidP="00DD128D">
      <w:r>
        <w:t>Historical societies will inevitably be asked by councils or private owners for comment</w:t>
      </w:r>
      <w:r w:rsidR="003D471F">
        <w:t xml:space="preserve"> </w:t>
      </w:r>
      <w:r>
        <w:t>on alterations or new proposals affecting large towns, timber villages and seaside resorts</w:t>
      </w:r>
      <w:r w:rsidR="003D471F">
        <w:t xml:space="preserve"> </w:t>
      </w:r>
      <w:r>
        <w:t>- all are part of the background history which we take for granted. The change</w:t>
      </w:r>
      <w:r w:rsidR="003D471F">
        <w:t xml:space="preserve"> </w:t>
      </w:r>
      <w:r>
        <w:t>of one building for the worse can spoil the appearance of a street.</w:t>
      </w:r>
    </w:p>
    <w:p w:rsidR="00DD128D" w:rsidRDefault="00DD128D" w:rsidP="00DD128D">
      <w:r>
        <w:t>How can the local community respond to tourism positively and not lose its identity?</w:t>
      </w:r>
      <w:r w:rsidR="003D471F">
        <w:t xml:space="preserve"> </w:t>
      </w:r>
      <w:r>
        <w:t>Overseas experience has seen the danger of communit</w:t>
      </w:r>
      <w:r w:rsidR="003D471F">
        <w:t xml:space="preserve">ies swamped by central planning </w:t>
      </w:r>
      <w:r>
        <w:t>and too many visitors. One answer has been to provide courses to train local people</w:t>
      </w:r>
      <w:r w:rsidR="003D471F">
        <w:t xml:space="preserve"> </w:t>
      </w:r>
      <w:r>
        <w:t>to act as guides to interpret local history, thereby keeping the care and presentation</w:t>
      </w:r>
      <w:r w:rsidR="003D471F">
        <w:t xml:space="preserve"> </w:t>
      </w:r>
      <w:r>
        <w:t xml:space="preserve">in local hands and providing employment. The establishment of </w:t>
      </w:r>
      <w:r w:rsidR="00AC2312">
        <w:t xml:space="preserve">a </w:t>
      </w:r>
      <w:r>
        <w:t>local historical society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historical societies</w:instrText>
      </w:r>
      <w:r w:rsidR="00AC2312">
        <w:instrText xml:space="preserve">" </w:instrText>
      </w:r>
      <w:r w:rsidR="00AC2312">
        <w:fldChar w:fldCharType="end"/>
      </w:r>
      <w:r w:rsidR="003D471F">
        <w:t xml:space="preserve"> </w:t>
      </w:r>
      <w:r>
        <w:t>which genuinely reflects the soul of the district (and not the biases of a few dominant</w:t>
      </w:r>
      <w:r w:rsidR="003D471F">
        <w:t xml:space="preserve"> </w:t>
      </w:r>
      <w:r>
        <w:t>personalities) is one way the variety and contrast of a community's past can be recorded</w:t>
      </w:r>
      <w:r w:rsidR="003D471F">
        <w:t xml:space="preserve"> </w:t>
      </w:r>
      <w:r>
        <w:t>for the locals and visitors alike. This has been one function of the guides at Port</w:t>
      </w:r>
      <w:r w:rsidR="003D471F">
        <w:t xml:space="preserve"> </w:t>
      </w:r>
      <w:r>
        <w:t>Arthur where an extra sense of empathy is provided by local staff to an historic area</w:t>
      </w:r>
      <w:r w:rsidR="003D471F">
        <w:t xml:space="preserve"> </w:t>
      </w:r>
      <w:r>
        <w:t>and has so far prevented over-exploitation of the site.</w:t>
      </w:r>
    </w:p>
    <w:p w:rsidR="00DD128D" w:rsidRDefault="00DD128D" w:rsidP="00DD128D">
      <w:r>
        <w:t>How does the evolution of Tasmanian historical societies compare to the rest of</w:t>
      </w:r>
      <w:r w:rsidR="003D471F">
        <w:t xml:space="preserve"> </w:t>
      </w:r>
      <w:r>
        <w:t>the country? Tasmania, it seems, got off to a slow start. Most small towns on the</w:t>
      </w:r>
      <w:r w:rsidR="003D471F">
        <w:t xml:space="preserve"> </w:t>
      </w:r>
      <w:r>
        <w:t>mainland boast an historical society, many established before World War II. In Tasmania,</w:t>
      </w:r>
      <w:r w:rsidR="003D471F">
        <w:t xml:space="preserve"> </w:t>
      </w:r>
      <w:r>
        <w:t>the 'convict cringe'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convict cringe</w:instrText>
      </w:r>
      <w:r w:rsidR="00AC2312">
        <w:instrText xml:space="preserve">" </w:instrText>
      </w:r>
      <w:r w:rsidR="00AC2312">
        <w:fldChar w:fldCharType="end"/>
      </w:r>
      <w:r>
        <w:t xml:space="preserve"> made many ashamed to look too deeply at the past. Our first</w:t>
      </w:r>
      <w:r w:rsidR="003D471F">
        <w:t xml:space="preserve"> </w:t>
      </w:r>
      <w:r>
        <w:t>historical body was not started until 1951. (A similar effect has been noticed in</w:t>
      </w:r>
      <w:r w:rsidR="003D471F">
        <w:t xml:space="preserve"> </w:t>
      </w:r>
      <w:r>
        <w:t>Beechworth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Beechworth</w:instrText>
      </w:r>
      <w:r w:rsidR="00AC2312">
        <w:instrText xml:space="preserve">" </w:instrText>
      </w:r>
      <w:r w:rsidR="00AC2312">
        <w:fldChar w:fldCharType="end"/>
      </w:r>
      <w:r>
        <w:t>, which had the Kelly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Kelly, Ned</w:instrText>
      </w:r>
      <w:r w:rsidR="00AC2312">
        <w:instrText xml:space="preserve">" </w:instrText>
      </w:r>
      <w:r w:rsidR="00AC2312">
        <w:fldChar w:fldCharType="end"/>
      </w:r>
      <w:r>
        <w:t xml:space="preserve"> legend to divide the community.</w:t>
      </w:r>
      <w:r w:rsidR="00C9072E">
        <w:rPr>
          <w:rStyle w:val="FootnoteReference"/>
        </w:rPr>
        <w:footnoteReference w:id="11"/>
      </w:r>
      <w:r>
        <w:rPr>
          <w:rFonts w:ascii="Arial" w:hAnsi="Arial" w:cs="Arial"/>
          <w:sz w:val="12"/>
          <w:szCs w:val="12"/>
        </w:rPr>
        <w:t xml:space="preserve">I </w:t>
      </w:r>
      <w:r>
        <w:t>Tasmania had</w:t>
      </w:r>
      <w:r w:rsidR="003D471F">
        <w:t xml:space="preserve"> </w:t>
      </w:r>
      <w:r>
        <w:t>the guilt of guards and prisoners to do the same.) Now thanks to family history and</w:t>
      </w:r>
      <w:r w:rsidR="003D471F">
        <w:t xml:space="preserve"> </w:t>
      </w:r>
      <w:r>
        <w:t>new patriotism, interest grows every year.</w:t>
      </w:r>
    </w:p>
    <w:p w:rsidR="00DD128D" w:rsidRDefault="00DD128D" w:rsidP="00DD128D">
      <w:r>
        <w:t>The growth of these bodies in Tasmania is mainly a post-1960 phenomenon. The</w:t>
      </w:r>
      <w:r w:rsidR="003D471F">
        <w:t xml:space="preserve"> </w:t>
      </w:r>
      <w:r>
        <w:t>first was the Tasmanian Historical Research Association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Tasmanian Historical Research Association</w:instrText>
      </w:r>
      <w:r w:rsidR="00AC2312">
        <w:instrText xml:space="preserve">" </w:instrText>
      </w:r>
      <w:r w:rsidR="00AC2312">
        <w:fldChar w:fldCharType="end"/>
      </w:r>
      <w:r>
        <w:t>, which (fittingly) convened</w:t>
      </w:r>
      <w:r w:rsidR="003D471F">
        <w:t xml:space="preserve"> </w:t>
      </w:r>
      <w:r>
        <w:t>this seminar. The number of new societies formed has grown from one in the 1950s to</w:t>
      </w:r>
      <w:r w:rsidR="003D471F">
        <w:t xml:space="preserve"> </w:t>
      </w:r>
      <w:r>
        <w:t>three in the 1960s, five in the 1970s, five in the 1980s, and two (so far) in the 1990s.</w:t>
      </w:r>
    </w:p>
    <w:p w:rsidR="00DD128D" w:rsidRDefault="00DD128D" w:rsidP="00DD128D">
      <w:pPr>
        <w:rPr>
          <w:rFonts w:ascii="Arial" w:hAnsi="Arial" w:cs="Arial"/>
          <w:sz w:val="12"/>
          <w:szCs w:val="12"/>
        </w:rPr>
      </w:pPr>
      <w:r w:rsidRPr="003D471F">
        <w:t>A brief survey using the community group data-base held by the State Library</w:t>
      </w:r>
      <w:r w:rsidR="003D471F" w:rsidRPr="003D471F">
        <w:t xml:space="preserve"> </w:t>
      </w:r>
      <w:r w:rsidRPr="003D471F">
        <w:t>was conducted (special interest groups, such as the National Trust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National Trust</w:instrText>
      </w:r>
      <w:r w:rsidR="00AC2312">
        <w:instrText xml:space="preserve">" </w:instrText>
      </w:r>
      <w:r w:rsidR="00AC2312">
        <w:fldChar w:fldCharType="end"/>
      </w:r>
      <w:r w:rsidRPr="003D471F">
        <w:t xml:space="preserve"> and militaria groups</w:t>
      </w:r>
      <w:r w:rsidR="003D471F" w:rsidRPr="003D471F">
        <w:t xml:space="preserve"> </w:t>
      </w:r>
      <w:r w:rsidRPr="003D471F">
        <w:t>for example, were excluded). Committee members in eighteen of</w:t>
      </w:r>
      <w:r w:rsidR="003D471F">
        <w:t xml:space="preserve"> </w:t>
      </w:r>
      <w:r w:rsidRPr="003D471F">
        <w:t>the groups were phoned</w:t>
      </w:r>
      <w:r w:rsidR="003D471F" w:rsidRPr="003D471F">
        <w:t xml:space="preserve"> </w:t>
      </w:r>
      <w:r w:rsidRPr="003D471F">
        <w:t>for an all-too-brief poll. A number of older groups founded in the 1960s had folded</w:t>
      </w:r>
      <w:r w:rsidR="003D471F" w:rsidRPr="003D471F">
        <w:t xml:space="preserve"> </w:t>
      </w:r>
      <w:r w:rsidRPr="003D471F">
        <w:t>on the death of founder-members in the 1970s, some to be revived by community</w:t>
      </w:r>
      <w:r w:rsidR="003D471F" w:rsidRPr="003D471F">
        <w:t xml:space="preserve"> </w:t>
      </w:r>
      <w:r w:rsidRPr="003D471F">
        <w:t>committees (Channel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Channel</w:instrText>
      </w:r>
      <w:r w:rsidR="00AC2312">
        <w:instrText xml:space="preserve">" </w:instrText>
      </w:r>
      <w:r w:rsidR="00AC2312">
        <w:fldChar w:fldCharType="end"/>
      </w:r>
      <w:r w:rsidRPr="003D471F">
        <w:t>, Furneaux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Furneaux</w:instrText>
      </w:r>
      <w:r w:rsidR="00AC2312">
        <w:instrText xml:space="preserve">" </w:instrText>
      </w:r>
      <w:r w:rsidR="00AC2312">
        <w:fldChar w:fldCharType="end"/>
      </w:r>
      <w:r w:rsidRPr="003D471F">
        <w:t>). Others grew from older National Trust groups to</w:t>
      </w:r>
      <w:r w:rsidR="003D471F" w:rsidRPr="003D471F">
        <w:t xml:space="preserve"> </w:t>
      </w:r>
      <w:r w:rsidRPr="003D471F">
        <w:t>an independent status (Bothwell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Bothwell</w:instrText>
      </w:r>
      <w:r w:rsidR="00AC2312">
        <w:instrText xml:space="preserve">" </w:instrText>
      </w:r>
      <w:r w:rsidR="00AC2312">
        <w:fldChar w:fldCharType="end"/>
      </w:r>
      <w:r w:rsidRPr="003D471F">
        <w:t>, Evandale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Evandale</w:instrText>
      </w:r>
      <w:r w:rsidR="00AC2312">
        <w:instrText xml:space="preserve">" </w:instrText>
      </w:r>
      <w:r w:rsidR="00AC2312">
        <w:fldChar w:fldCharType="end"/>
      </w:r>
      <w:r w:rsidRPr="003D471F">
        <w:t>, Swansea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Swansea</w:instrText>
      </w:r>
      <w:r w:rsidR="00AC2312">
        <w:instrText xml:space="preserve">" </w:instrText>
      </w:r>
      <w:r w:rsidR="00AC2312">
        <w:fldChar w:fldCharType="end"/>
      </w:r>
      <w:r w:rsidRPr="003D471F">
        <w:t>). In some cases this had</w:t>
      </w:r>
      <w:r>
        <w:rPr>
          <w:sz w:val="19"/>
          <w:szCs w:val="19"/>
        </w:rPr>
        <w:t xml:space="preserve"> </w:t>
      </w:r>
      <w:r w:rsidRPr="003D471F">
        <w:t>caused</w:t>
      </w:r>
      <w:r w:rsidR="003D471F" w:rsidRPr="003D471F">
        <w:t xml:space="preserve"> </w:t>
      </w:r>
      <w:r w:rsidRPr="003D471F">
        <w:t>friction with older Trust members. The traditional National Trust reputation for</w:t>
      </w:r>
      <w:r w:rsidR="003D471F" w:rsidRPr="003D471F">
        <w:t xml:space="preserve"> </w:t>
      </w:r>
      <w:r w:rsidRPr="003D471F">
        <w:t>concentrating on buildings, rather than the community and its local history, has caused</w:t>
      </w:r>
      <w:r w:rsidR="003D471F" w:rsidRPr="003D471F">
        <w:t xml:space="preserve"> </w:t>
      </w:r>
      <w:r w:rsidRPr="003D471F">
        <w:t>alienation in some areas. Locals specifically refused to join one new group until assured</w:t>
      </w:r>
      <w:r w:rsidR="003D471F" w:rsidRPr="003D471F">
        <w:t xml:space="preserve"> </w:t>
      </w:r>
      <w:r w:rsidRPr="003D471F">
        <w:t>there was no connection with the National Trust. This distrust possibly delayed the</w:t>
      </w:r>
      <w:r w:rsidR="003D471F" w:rsidRPr="003D471F">
        <w:t xml:space="preserve"> </w:t>
      </w:r>
      <w:r w:rsidRPr="003D471F">
        <w:t>formation of historical societies, as was observed in Beechworth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Beechworth</w:instrText>
      </w:r>
      <w:r w:rsidR="00AC2312">
        <w:instrText xml:space="preserve">" </w:instrText>
      </w:r>
      <w:r w:rsidR="00AC2312">
        <w:fldChar w:fldCharType="end"/>
      </w:r>
      <w:r w:rsidRPr="003D471F">
        <w:t xml:space="preserve"> which was classified</w:t>
      </w:r>
      <w:r w:rsidR="003D471F" w:rsidRPr="003D471F">
        <w:t xml:space="preserve"> </w:t>
      </w:r>
      <w:r w:rsidRPr="003D471F">
        <w:t>by the Trust, causing resentment as locals felt they were being made into a museum</w:t>
      </w:r>
      <w:r w:rsidR="003D471F" w:rsidRPr="003D471F">
        <w:t xml:space="preserve"> </w:t>
      </w:r>
      <w:r w:rsidRPr="003D471F">
        <w:t>and their property devalued.</w:t>
      </w:r>
      <w:r w:rsidR="00A22C8D">
        <w:rPr>
          <w:rStyle w:val="FootnoteReference"/>
        </w:rPr>
        <w:footnoteReference w:id="12"/>
      </w:r>
    </w:p>
    <w:p w:rsidR="00DD128D" w:rsidRDefault="00DD128D" w:rsidP="003D471F">
      <w:r>
        <w:t>Several groups with a museum emphasis were members of the Museums Association</w:t>
      </w:r>
      <w:r w:rsidR="003D471F">
        <w:t xml:space="preserve"> </w:t>
      </w:r>
      <w:r>
        <w:t>of Australia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Museums Association of Australia</w:instrText>
      </w:r>
      <w:r w:rsidR="00AC2312">
        <w:instrText xml:space="preserve">" </w:instrText>
      </w:r>
      <w:r w:rsidR="00AC2312">
        <w:fldChar w:fldCharType="end"/>
      </w:r>
      <w:r>
        <w:t xml:space="preserve"> (Channel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Channel</w:instrText>
      </w:r>
      <w:r w:rsidR="00AC2312">
        <w:instrText xml:space="preserve">" </w:instrText>
      </w:r>
      <w:r w:rsidR="00AC2312">
        <w:fldChar w:fldCharType="end"/>
      </w:r>
      <w:r>
        <w:t>, West Tamar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West Tamar</w:instrText>
      </w:r>
      <w:r w:rsidR="00AC2312">
        <w:instrText xml:space="preserve">" </w:instrText>
      </w:r>
      <w:r w:rsidR="00AC2312">
        <w:fldChar w:fldCharType="end"/>
      </w:r>
      <w:r>
        <w:t>, St Helens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St Helens</w:instrText>
      </w:r>
      <w:r w:rsidR="00AC2312">
        <w:instrText xml:space="preserve">" </w:instrText>
      </w:r>
      <w:r w:rsidR="00AC2312">
        <w:fldChar w:fldCharType="end"/>
      </w:r>
      <w:r>
        <w:t>), which provides practical advice to</w:t>
      </w:r>
      <w:r w:rsidR="003D471F">
        <w:t xml:space="preserve"> </w:t>
      </w:r>
      <w:r>
        <w:t>members and holds regular seminars/ conventions locally and Australia-wide. Of the</w:t>
      </w:r>
      <w:r w:rsidR="003D471F">
        <w:t xml:space="preserve"> </w:t>
      </w:r>
      <w:r>
        <w:t>existing nineteen societies in Tasmania, ten have a history room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rooms</w:instrText>
      </w:r>
      <w:r w:rsidR="00AC2312">
        <w:instrText xml:space="preserve">" </w:instrText>
      </w:r>
      <w:r w:rsidR="00AC2312">
        <w:fldChar w:fldCharType="end"/>
      </w:r>
      <w:r>
        <w:t>/ museum while four</w:t>
      </w:r>
      <w:r w:rsidR="003D471F">
        <w:t xml:space="preserve"> </w:t>
      </w:r>
      <w:r>
        <w:t>others plan theirs. Only five have publications, and only four have periodicals -</w:t>
      </w:r>
      <w:r w:rsidR="003D471F">
        <w:t xml:space="preserve"> </w:t>
      </w:r>
      <w:r>
        <w:t>THRA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THRA</w:instrText>
      </w:r>
      <w:r w:rsidR="00AC2312">
        <w:instrText xml:space="preserve">" </w:instrText>
      </w:r>
      <w:r w:rsidR="00AC2312">
        <w:fldChar w:fldCharType="end"/>
      </w:r>
      <w:r>
        <w:t xml:space="preserve"> (Hobart), Launceston,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Launceston,</w:instrText>
      </w:r>
      <w:r w:rsidR="00AC2312">
        <w:instrText xml:space="preserve">" </w:instrText>
      </w:r>
      <w:r w:rsidR="00AC2312">
        <w:fldChar w:fldCharType="end"/>
      </w:r>
      <w:r>
        <w:t xml:space="preserve"> Tasman Peninsula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Tasman Peninsula</w:instrText>
      </w:r>
      <w:r w:rsidR="00AC2312">
        <w:instrText xml:space="preserve">" </w:instrText>
      </w:r>
      <w:r w:rsidR="00AC2312">
        <w:fldChar w:fldCharType="end"/>
      </w:r>
      <w:r>
        <w:t xml:space="preserve"> and Circular Head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Circular Head</w:instrText>
      </w:r>
      <w:r w:rsidR="00AC2312">
        <w:instrText xml:space="preserve">" </w:instrText>
      </w:r>
      <w:r w:rsidR="00AC2312">
        <w:fldChar w:fldCharType="end"/>
      </w:r>
      <w:r>
        <w:t>. Most museums</w:t>
      </w:r>
      <w:r w:rsidR="003D471F">
        <w:t xml:space="preserve"> </w:t>
      </w:r>
      <w:r>
        <w:t>open on request and seven are open during the summer and/ or regular times.</w:t>
      </w:r>
    </w:p>
    <w:p w:rsidR="00DD128D" w:rsidRDefault="00DD128D" w:rsidP="003D471F">
      <w:r>
        <w:t>Groups in less populated areas are more active in the wider district, offering a</w:t>
      </w:r>
      <w:r w:rsidR="003D471F">
        <w:t xml:space="preserve"> </w:t>
      </w:r>
      <w:r>
        <w:t>social outlet for members (Bruny Island,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Bruny Island</w:instrText>
      </w:r>
      <w:r w:rsidR="00AC2312">
        <w:instrText xml:space="preserve">" </w:instrText>
      </w:r>
      <w:r w:rsidR="00AC2312">
        <w:fldChar w:fldCharType="end"/>
      </w:r>
      <w:r>
        <w:t xml:space="preserve"> Tasman Peninsula, Bothwell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Bothwell</w:instrText>
      </w:r>
      <w:r w:rsidR="00AC2312">
        <w:instrText xml:space="preserve">" </w:instrText>
      </w:r>
      <w:r w:rsidR="00AC2312">
        <w:fldChar w:fldCharType="end"/>
      </w:r>
      <w:r>
        <w:t>). Nearly all</w:t>
      </w:r>
      <w:r w:rsidR="003D471F">
        <w:t xml:space="preserve"> </w:t>
      </w:r>
      <w:r>
        <w:t>organise historic walks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historic walks</w:instrText>
      </w:r>
      <w:r w:rsidR="00AC2312">
        <w:instrText xml:space="preserve">" </w:instrText>
      </w:r>
      <w:r w:rsidR="00AC2312">
        <w:fldChar w:fldCharType="end"/>
      </w:r>
      <w:r>
        <w:t>. The Bruny Island Society has established permanent walks</w:t>
      </w:r>
      <w:r w:rsidR="003D471F">
        <w:t xml:space="preserve"> </w:t>
      </w:r>
      <w:r>
        <w:t>along the old slide tramway. Nearly all groups invited guest speakers at varying</w:t>
      </w:r>
      <w:r w:rsidR="003D471F">
        <w:t xml:space="preserve"> </w:t>
      </w:r>
      <w:r>
        <w:t>frequencies.</w:t>
      </w:r>
    </w:p>
    <w:p w:rsidR="00DD128D" w:rsidRDefault="00DD128D" w:rsidP="003D471F">
      <w:r>
        <w:t>While most societies put money and effort into a museum or history room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history rooms</w:instrText>
      </w:r>
      <w:r w:rsidR="00AC2312">
        <w:instrText xml:space="preserve">" </w:instrText>
      </w:r>
      <w:r w:rsidR="00AC2312">
        <w:fldChar w:fldCharType="end"/>
      </w:r>
      <w:r>
        <w:t xml:space="preserve"> the</w:t>
      </w:r>
      <w:r w:rsidR="003D471F">
        <w:t xml:space="preserve"> </w:t>
      </w:r>
      <w:r>
        <w:t>Derby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Derby</w:instrText>
      </w:r>
      <w:r w:rsidR="00AC2312">
        <w:instrText xml:space="preserve">" </w:instrText>
      </w:r>
      <w:r w:rsidR="00AC2312">
        <w:fldChar w:fldCharType="end"/>
      </w:r>
      <w:r>
        <w:t xml:space="preserve"> group, through the annual </w:t>
      </w:r>
      <w:r w:rsidR="00AC2312">
        <w:t xml:space="preserve">Derby </w:t>
      </w:r>
      <w:r>
        <w:t>River Derby, puts money into other community</w:t>
      </w:r>
      <w:r w:rsidR="003D471F">
        <w:t xml:space="preserve"> </w:t>
      </w:r>
      <w:r>
        <w:t>groups and towards the restoration of public buildings, including the Council Chambers</w:t>
      </w:r>
      <w:r w:rsidR="003D471F">
        <w:t xml:space="preserve"> </w:t>
      </w:r>
      <w:r>
        <w:t>and Hall, without being a distinct historical group itself.</w:t>
      </w:r>
    </w:p>
    <w:p w:rsidR="00DD128D" w:rsidRDefault="00DD128D" w:rsidP="003D471F">
      <w:r>
        <w:t>The groups were also asked about their relationship with their local councils. The</w:t>
      </w:r>
      <w:r w:rsidR="001627D8">
        <w:t xml:space="preserve"> </w:t>
      </w:r>
      <w:r>
        <w:t>Peninsula group was fortunate (and apparently rare) in having the Warden as a (keen)</w:t>
      </w:r>
      <w:r w:rsidR="001627D8">
        <w:t xml:space="preserve"> </w:t>
      </w:r>
      <w:r>
        <w:t>member of its society. With a few exceptions, many councils are still 'getting off the</w:t>
      </w:r>
      <w:r w:rsidR="001627D8">
        <w:t xml:space="preserve"> </w:t>
      </w:r>
      <w:r>
        <w:t>ark' in understanding the importance of history and heritage, but changes are happening.</w:t>
      </w:r>
      <w:r w:rsidR="001627D8">
        <w:t xml:space="preserve"> </w:t>
      </w:r>
      <w:r>
        <w:t>The new Evandale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Evandale</w:instrText>
      </w:r>
      <w:r w:rsidR="00AC2312">
        <w:instrText xml:space="preserve">" </w:instrText>
      </w:r>
      <w:r w:rsidR="00AC2312">
        <w:fldChar w:fldCharType="end"/>
      </w:r>
      <w:r>
        <w:t xml:space="preserve"> Historical Society received help from its local council and a number</w:t>
      </w:r>
      <w:r w:rsidR="001627D8">
        <w:t xml:space="preserve"> </w:t>
      </w:r>
      <w:r>
        <w:t>of other societies also have rooms on council premises. The Hamilton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Hamilton</w:instrText>
      </w:r>
      <w:r w:rsidR="00AC2312">
        <w:instrText xml:space="preserve">" </w:instrText>
      </w:r>
      <w:r w:rsidR="00AC2312">
        <w:fldChar w:fldCharType="end"/>
      </w:r>
      <w:r>
        <w:t xml:space="preserve"> Council used</w:t>
      </w:r>
      <w:r w:rsidR="001627D8">
        <w:t xml:space="preserve"> </w:t>
      </w:r>
      <w:r>
        <w:t>a National Estate grant of $10,000 to produce a history of the district, and has supported</w:t>
      </w:r>
      <w:r w:rsidR="001627D8">
        <w:t xml:space="preserve"> </w:t>
      </w:r>
      <w:r>
        <w:t>a new Hamilton Historical Society, mainly consisting of sympathetic tourist operators.</w:t>
      </w:r>
      <w:r w:rsidR="001627D8">
        <w:t xml:space="preserve"> </w:t>
      </w:r>
      <w:r>
        <w:t>Generally however, councils still don't consult historical societies except at anniversaries</w:t>
      </w:r>
      <w:r w:rsidR="001627D8">
        <w:t xml:space="preserve"> </w:t>
      </w:r>
      <w:r>
        <w:t>when photos or text for signs are needed.</w:t>
      </w:r>
    </w:p>
    <w:p w:rsidR="00DD128D" w:rsidRDefault="00DD128D" w:rsidP="003D471F">
      <w:r>
        <w:t>The impact of the convict stain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convict stain</w:instrText>
      </w:r>
      <w:r w:rsidR="00AC2312">
        <w:instrText xml:space="preserve">" </w:instrText>
      </w:r>
      <w:r w:rsidR="00AC2312">
        <w:fldChar w:fldCharType="end"/>
      </w:r>
      <w:r>
        <w:t xml:space="preserve"> is very evident in the continued absence of historical</w:t>
      </w:r>
      <w:r w:rsidR="001627D8">
        <w:t xml:space="preserve"> </w:t>
      </w:r>
      <w:r>
        <w:t>societies in the old convict towns of</w:t>
      </w:r>
      <w:r w:rsidR="001627D8">
        <w:t xml:space="preserve"> </w:t>
      </w:r>
      <w:r>
        <w:t>the Midland Highway - Richmond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Richmond</w:instrText>
      </w:r>
      <w:r w:rsidR="00AC2312">
        <w:instrText xml:space="preserve">" </w:instrText>
      </w:r>
      <w:r w:rsidR="00AC2312">
        <w:fldChar w:fldCharType="end"/>
      </w:r>
      <w:r>
        <w:t>, Ross,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Ross</w:instrText>
      </w:r>
      <w:r w:rsidR="00AC2312">
        <w:instrText xml:space="preserve">" </w:instrText>
      </w:r>
      <w:r w:rsidR="00AC2312">
        <w:fldChar w:fldCharType="end"/>
      </w:r>
      <w:r>
        <w:t xml:space="preserve"> Campbell</w:t>
      </w:r>
      <w:r w:rsidR="001627D8">
        <w:t xml:space="preserve"> </w:t>
      </w:r>
      <w:r>
        <w:t>Town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Campbell Town</w:instrText>
      </w:r>
      <w:r w:rsidR="00AC2312">
        <w:instrText xml:space="preserve">" </w:instrText>
      </w:r>
      <w:r w:rsidR="00AC2312">
        <w:fldChar w:fldCharType="end"/>
      </w:r>
      <w:r>
        <w:t xml:space="preserve"> and Longford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Longford</w:instrText>
      </w:r>
      <w:r w:rsidR="00AC2312">
        <w:instrText xml:space="preserve">" </w:instrText>
      </w:r>
      <w:r w:rsidR="00AC2312">
        <w:fldChar w:fldCharType="end"/>
      </w:r>
      <w:r>
        <w:t xml:space="preserve"> for example. (The sharp distinction between village and estate</w:t>
      </w:r>
      <w:r w:rsidR="001627D8">
        <w:t xml:space="preserve"> </w:t>
      </w:r>
      <w:r>
        <w:t>seems to account for this.)</w:t>
      </w:r>
    </w:p>
    <w:p w:rsidR="00DD128D" w:rsidRDefault="00DD128D" w:rsidP="003D471F">
      <w:r>
        <w:t>Only THRA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THRA</w:instrText>
      </w:r>
      <w:r w:rsidR="00AC2312">
        <w:instrText xml:space="preserve">" </w:instrText>
      </w:r>
      <w:r w:rsidR="00AC2312">
        <w:fldChar w:fldCharType="end"/>
      </w:r>
      <w:r>
        <w:t xml:space="preserve"> receives any form of (state) government funding. Although no specific</w:t>
      </w:r>
      <w:r w:rsidR="001627D8">
        <w:t xml:space="preserve"> </w:t>
      </w:r>
      <w:r>
        <w:t>funding exists for history societies as individual groups, societies can be joint applicants</w:t>
      </w:r>
      <w:r w:rsidR="001627D8">
        <w:t xml:space="preserve"> </w:t>
      </w:r>
      <w:r>
        <w:t>with councils, or museums such as the Queen Victoria Museum and Art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Queen Victoria Museum and Art</w:instrText>
      </w:r>
      <w:r w:rsidR="00AC2312">
        <w:instrText xml:space="preserve">" </w:instrText>
      </w:r>
      <w:r w:rsidR="00AC2312">
        <w:fldChar w:fldCharType="end"/>
      </w:r>
      <w:r>
        <w:t xml:space="preserve"> Gallery</w:t>
      </w:r>
      <w:r w:rsidR="001627D8">
        <w:t xml:space="preserve"> </w:t>
      </w:r>
      <w:r>
        <w:t>(Launceston), for National Estate grants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National Estate grants</w:instrText>
      </w:r>
      <w:r w:rsidR="00AC2312">
        <w:instrText xml:space="preserve">" </w:instrText>
      </w:r>
      <w:r w:rsidR="00AC2312">
        <w:fldChar w:fldCharType="end"/>
      </w:r>
      <w:r>
        <w:t>.</w:t>
      </w:r>
    </w:p>
    <w:p w:rsidR="00DD128D" w:rsidRDefault="00DD128D" w:rsidP="003D471F">
      <w:r>
        <w:t>Specialist advice and expertise can be had from a number of bodies involved with</w:t>
      </w:r>
      <w:r w:rsidR="001627D8">
        <w:t xml:space="preserve"> </w:t>
      </w:r>
      <w:r>
        <w:t>the heritage industry. These include the Professional Historians Association,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Professional Historians Association,</w:instrText>
      </w:r>
      <w:r w:rsidR="00AC2312">
        <w:instrText xml:space="preserve">" </w:instrText>
      </w:r>
      <w:r w:rsidR="00AC2312">
        <w:fldChar w:fldCharType="end"/>
      </w:r>
      <w:r>
        <w:t xml:space="preserve"> Australian</w:t>
      </w:r>
      <w:r w:rsidR="001627D8">
        <w:t xml:space="preserve"> </w:t>
      </w:r>
      <w:r>
        <w:t>Museums Association,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Australian Museums Association,</w:instrText>
      </w:r>
      <w:r w:rsidR="00AC2312">
        <w:instrText xml:space="preserve">" </w:instrText>
      </w:r>
      <w:r w:rsidR="00AC2312">
        <w:fldChar w:fldCharType="end"/>
      </w:r>
      <w:r>
        <w:t xml:space="preserve"> Institute of Architects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Institute of Architects</w:instrText>
      </w:r>
      <w:r w:rsidR="00AC2312">
        <w:instrText xml:space="preserve">" </w:instrText>
      </w:r>
      <w:r w:rsidR="00AC2312">
        <w:fldChar w:fldCharType="end"/>
      </w:r>
      <w:r>
        <w:t>, Australian Archaeologists Association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Australian Archaeologists Association</w:instrText>
      </w:r>
      <w:r w:rsidR="00AC2312">
        <w:instrText xml:space="preserve">" </w:instrText>
      </w:r>
      <w:r w:rsidR="00AC2312">
        <w:fldChar w:fldCharType="end"/>
      </w:r>
      <w:r>
        <w:t>,</w:t>
      </w:r>
      <w:r w:rsidR="001627D8">
        <w:t xml:space="preserve"> </w:t>
      </w:r>
      <w:r>
        <w:t>Institution of Engineers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Institution of Engineers</w:instrText>
      </w:r>
      <w:r w:rsidR="00AC2312">
        <w:instrText xml:space="preserve">" </w:instrText>
      </w:r>
      <w:r w:rsidR="00AC2312">
        <w:fldChar w:fldCharType="end"/>
      </w:r>
      <w:r>
        <w:t>, and Institute of Landscape Architects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Institute of Landscape Architects</w:instrText>
      </w:r>
      <w:r w:rsidR="00AC2312">
        <w:instrText xml:space="preserve">" </w:instrText>
      </w:r>
      <w:r w:rsidR="00AC2312">
        <w:fldChar w:fldCharType="end"/>
      </w:r>
      <w:r>
        <w:t>.</w:t>
      </w:r>
    </w:p>
    <w:p w:rsidR="00DD128D" w:rsidRDefault="00DD128D" w:rsidP="003D471F">
      <w:r>
        <w:t>To ensure the long-term strength of local history groups, the formation of a Tasmanian</w:t>
      </w:r>
      <w:r w:rsidR="001627D8">
        <w:t xml:space="preserve"> </w:t>
      </w:r>
      <w:r>
        <w:t>Association of Historical Societies would give a united voice in matters such as funding,</w:t>
      </w:r>
      <w:r w:rsidR="001627D8">
        <w:t xml:space="preserve"> </w:t>
      </w:r>
      <w:r>
        <w:t>protection of documents, and history in school curricula. The formation of such a</w:t>
      </w:r>
      <w:r w:rsidR="001627D8">
        <w:t xml:space="preserve"> </w:t>
      </w:r>
      <w:r>
        <w:t>body to inform and liaise with groups and government departments, including Tourism</w:t>
      </w:r>
      <w:r w:rsidR="001627D8">
        <w:t xml:space="preserve"> </w:t>
      </w:r>
      <w:r>
        <w:t>Tasmania</w:t>
      </w:r>
      <w:r w:rsidR="00AC2312">
        <w:fldChar w:fldCharType="begin"/>
      </w:r>
      <w:r w:rsidR="00AC2312">
        <w:instrText xml:space="preserve"> XE "</w:instrText>
      </w:r>
      <w:r w:rsidR="00AC2312" w:rsidRPr="003D16FD">
        <w:instrText>Tourism Tasmania</w:instrText>
      </w:r>
      <w:r w:rsidR="00AC2312">
        <w:instrText xml:space="preserve">" </w:instrText>
      </w:r>
      <w:r w:rsidR="00AC2312">
        <w:fldChar w:fldCharType="end"/>
      </w:r>
      <w:r>
        <w:t>, would help overcome many of the pitfalls outlined above.</w:t>
      </w:r>
    </w:p>
    <w:p w:rsidR="00AC2312" w:rsidRDefault="00DD128D" w:rsidP="003D471F">
      <w:r>
        <w:t>In the end, whatever approach or emphasis we adopt as Tasmanians interested in</w:t>
      </w:r>
      <w:r w:rsidR="001627D8">
        <w:t xml:space="preserve"> </w:t>
      </w:r>
      <w:r>
        <w:t>our own history, we should embrace tourism 'with cautious enthusiasm', but put much</w:t>
      </w:r>
      <w:r w:rsidR="001627D8">
        <w:t xml:space="preserve"> </w:t>
      </w:r>
      <w:r>
        <w:t>more effort into emphasising the cultural value of the assets that we have inherited</w:t>
      </w:r>
      <w:r w:rsidR="001627D8">
        <w:t xml:space="preserve"> </w:t>
      </w:r>
      <w:r>
        <w:t>and that we interpret - and stress above all that 'they are i</w:t>
      </w:r>
      <w:r w:rsidR="00A22C8D">
        <w:t>nalienable and irreplaceable'.</w:t>
      </w:r>
      <w:r w:rsidR="00A22C8D">
        <w:rPr>
          <w:rStyle w:val="FootnoteReference"/>
        </w:rPr>
        <w:footnoteReference w:id="13"/>
      </w:r>
    </w:p>
    <w:p w:rsidR="00AC2312" w:rsidRDefault="00AC2312" w:rsidP="00AC2312">
      <w:r>
        <w:br w:type="page"/>
      </w:r>
    </w:p>
    <w:p w:rsidR="00AC2312" w:rsidRDefault="00AC2312" w:rsidP="00AC2312">
      <w:pPr>
        <w:pStyle w:val="Heading1"/>
      </w:pPr>
      <w:r>
        <w:t>Index</w:t>
      </w:r>
    </w:p>
    <w:p w:rsidR="00325307" w:rsidRDefault="00325307" w:rsidP="00AC2312">
      <w:pPr>
        <w:rPr>
          <w:noProof/>
        </w:rPr>
        <w:sectPr w:rsidR="00325307" w:rsidSect="00325307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"3081" </w:instrText>
      </w:r>
      <w:r>
        <w:fldChar w:fldCharType="separate"/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Australian Archaeologists Association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Australian Museums Association,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Australian Tourism Commission</w:t>
      </w:r>
      <w:r>
        <w:rPr>
          <w:noProof/>
        </w:rPr>
        <w:tab/>
        <w:t>3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Australian Tourist Commission</w:t>
      </w:r>
      <w:r>
        <w:rPr>
          <w:noProof/>
        </w:rPr>
        <w:tab/>
        <w:t>3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Ballarat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Beechworth</w:t>
      </w:r>
      <w:r>
        <w:rPr>
          <w:noProof/>
        </w:rPr>
        <w:tab/>
        <w:t>4, 6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Bothwell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Bruny Island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Burnie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Campbell Town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Channel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Circular Head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Colonial Accommodation Group</w:t>
      </w:r>
      <w:r>
        <w:rPr>
          <w:noProof/>
        </w:rPr>
        <w:tab/>
        <w:t>3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convict cringe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convict stain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Cossons, Neil</w:t>
      </w:r>
      <w:r>
        <w:rPr>
          <w:noProof/>
        </w:rPr>
        <w:tab/>
        <w:t>1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cultural tourism</w:t>
      </w:r>
      <w:r>
        <w:rPr>
          <w:noProof/>
        </w:rPr>
        <w:tab/>
        <w:t>2, 3, 4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Derby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Eaglehawk Neck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Evandale</w:t>
      </w:r>
      <w:r>
        <w:rPr>
          <w:noProof/>
        </w:rPr>
        <w:tab/>
        <w:t>6, 7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folk museums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Furneaux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Hamilton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heritage tourism</w:t>
      </w:r>
      <w:r>
        <w:rPr>
          <w:noProof/>
        </w:rPr>
        <w:tab/>
        <w:t>1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historic walks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historical societies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history rooms</w:t>
      </w:r>
      <w:r>
        <w:rPr>
          <w:noProof/>
        </w:rPr>
        <w:tab/>
        <w:t>1, 2, 6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history theft</w:t>
      </w:r>
      <w:r>
        <w:rPr>
          <w:noProof/>
        </w:rPr>
        <w:tab/>
        <w:t>3, 4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Institute of Architects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Institute of Landscape Architects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Institution of Engineers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Kelly, Ned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Koonya Church Committee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Launceston,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local history societies</w:t>
      </w:r>
      <w:r>
        <w:rPr>
          <w:noProof/>
        </w:rPr>
        <w:tab/>
        <w:t>4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Longford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murals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Museums Association of Australia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National Estate grants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National Trust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Nubeena</w:t>
      </w:r>
      <w:r>
        <w:rPr>
          <w:noProof/>
        </w:rPr>
        <w:tab/>
        <w:t>1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oral history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Pacific Travel Writers Association</w:t>
      </w:r>
      <w:r>
        <w:rPr>
          <w:noProof/>
        </w:rPr>
        <w:tab/>
        <w:t>3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Port Arthur</w:t>
      </w:r>
      <w:r>
        <w:rPr>
          <w:noProof/>
        </w:rPr>
        <w:tab/>
        <w:t>1, 3, 4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Professional Historians Association,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Queen Victoria Museum and Art</w:t>
      </w:r>
      <w:r>
        <w:rPr>
          <w:noProof/>
        </w:rPr>
        <w:tab/>
        <w:t>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Richmond</w:t>
      </w:r>
      <w:r>
        <w:rPr>
          <w:noProof/>
        </w:rPr>
        <w:tab/>
        <w:t>4, 7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Ross</w:t>
      </w:r>
      <w:r>
        <w:rPr>
          <w:noProof/>
        </w:rPr>
        <w:tab/>
        <w:t>5, 7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Sovereign Hill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St Helens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Swansea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Tasman Peninsula</w:t>
      </w:r>
      <w:r>
        <w:rPr>
          <w:noProof/>
        </w:rPr>
        <w:tab/>
        <w:t>4, 6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Tasmanian Historical Research Association</w:t>
      </w:r>
      <w:r>
        <w:rPr>
          <w:noProof/>
        </w:rPr>
        <w:tab/>
        <w:t>6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 w:rsidRPr="003E3259">
        <w:rPr>
          <w:i/>
          <w:iCs/>
          <w:noProof/>
        </w:rPr>
        <w:t>The Tasman Peninsula Chronicle</w:t>
      </w:r>
      <w:r>
        <w:rPr>
          <w:noProof/>
        </w:rPr>
        <w:tab/>
        <w:t>1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The Tasman Peninsula Historical Society</w:t>
      </w:r>
      <w:r>
        <w:rPr>
          <w:noProof/>
        </w:rPr>
        <w:tab/>
        <w:t>5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THRA</w:t>
      </w:r>
      <w:r>
        <w:rPr>
          <w:noProof/>
        </w:rPr>
        <w:tab/>
        <w:t>6, 7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Tourism Tasmania</w:t>
      </w:r>
      <w:r>
        <w:rPr>
          <w:noProof/>
        </w:rPr>
        <w:tab/>
        <w:t>3, 7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travel writers</w:t>
      </w:r>
      <w:r>
        <w:rPr>
          <w:noProof/>
        </w:rPr>
        <w:tab/>
        <w:t>3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Uzzell, David</w:t>
      </w:r>
      <w:r>
        <w:rPr>
          <w:noProof/>
        </w:rPr>
        <w:tab/>
        <w:t>1</w:t>
      </w:r>
    </w:p>
    <w:p w:rsidR="00325307" w:rsidRDefault="00325307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West Tamar</w:t>
      </w:r>
      <w:r>
        <w:rPr>
          <w:noProof/>
        </w:rPr>
        <w:tab/>
        <w:t>6</w:t>
      </w:r>
    </w:p>
    <w:p w:rsidR="00325307" w:rsidRDefault="00325307" w:rsidP="00AC2312">
      <w:pPr>
        <w:rPr>
          <w:noProof/>
        </w:rPr>
        <w:sectPr w:rsidR="00325307" w:rsidSect="00325307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AC2312" w:rsidRPr="00AC2312" w:rsidRDefault="00325307" w:rsidP="00AC2312">
      <w:r>
        <w:fldChar w:fldCharType="end"/>
      </w:r>
    </w:p>
    <w:p w:rsidR="00325307" w:rsidRPr="00AC2312" w:rsidRDefault="00325307"/>
    <w:sectPr w:rsidR="00325307" w:rsidRPr="00AC2312" w:rsidSect="003253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97" w:rsidRDefault="007A1697" w:rsidP="001627D8">
      <w:pPr>
        <w:spacing w:after="0"/>
      </w:pPr>
      <w:r>
        <w:separator/>
      </w:r>
    </w:p>
  </w:endnote>
  <w:endnote w:type="continuationSeparator" w:id="0">
    <w:p w:rsidR="007A1697" w:rsidRDefault="007A1697" w:rsidP="00162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7" w:rsidRDefault="002663F7">
    <w:pPr>
      <w:pStyle w:val="Footer"/>
    </w:pPr>
    <w:r>
      <w:t>Copyright Peter Macfie ©1992, 201</w:t>
    </w:r>
    <w:r w:rsidR="005A1C24">
      <w:t>8</w:t>
    </w:r>
    <w:r>
      <w:ptab w:relativeTo="margin" w:alignment="center" w:leader="none"/>
    </w:r>
    <w:r>
      <w:ptab w:relativeTo="margin" w:alignment="right" w:leader="none"/>
    </w:r>
    <w:r w:rsidRPr="002663F7">
      <w:t>https://petermacfiehistorian.net.au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97" w:rsidRDefault="007A1697" w:rsidP="001627D8">
      <w:pPr>
        <w:spacing w:after="0"/>
      </w:pPr>
      <w:r>
        <w:t>_________________________________________________________________________</w:t>
      </w:r>
    </w:p>
  </w:footnote>
  <w:footnote w:type="continuationSeparator" w:id="0">
    <w:p w:rsidR="007A1697" w:rsidRDefault="007A1697" w:rsidP="001627D8">
      <w:pPr>
        <w:spacing w:after="0"/>
      </w:pPr>
      <w:r>
        <w:continuationSeparator/>
      </w:r>
    </w:p>
  </w:footnote>
  <w:footnote w:id="1">
    <w:p w:rsidR="001627D8" w:rsidRDefault="001627D8" w:rsidP="001627D8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N. Cossons, 'Plural funding and heritage: the visitor experience', in D</w:t>
      </w:r>
      <w:r w:rsidR="00AC2312">
        <w:rPr>
          <w:rFonts w:ascii="Times New Roman" w:hAnsi="Times New Roman"/>
          <w:sz w:val="17"/>
          <w:szCs w:val="17"/>
        </w:rPr>
        <w:t>avid</w:t>
      </w:r>
      <w:r>
        <w:rPr>
          <w:rFonts w:ascii="Times New Roman" w:hAnsi="Times New Roman"/>
          <w:sz w:val="17"/>
          <w:szCs w:val="17"/>
        </w:rPr>
        <w:t xml:space="preserve"> Uzell (ed), </w:t>
      </w:r>
      <w:r>
        <w:rPr>
          <w:rFonts w:ascii="Times New Roman" w:hAnsi="Times New Roman"/>
          <w:i/>
          <w:iCs/>
          <w:sz w:val="18"/>
          <w:szCs w:val="18"/>
        </w:rPr>
        <w:t>Heritage</w:t>
      </w:r>
    </w:p>
    <w:p w:rsidR="001627D8" w:rsidRPr="001627D8" w:rsidRDefault="001627D8" w:rsidP="001627D8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i/>
          <w:iCs/>
          <w:sz w:val="18"/>
          <w:szCs w:val="18"/>
        </w:rPr>
        <w:t xml:space="preserve">interpretation, </w:t>
      </w:r>
      <w:r>
        <w:rPr>
          <w:rFonts w:ascii="Times New Roman" w:hAnsi="Times New Roman"/>
          <w:sz w:val="17"/>
          <w:szCs w:val="17"/>
        </w:rPr>
        <w:t>London, Bethel Press, 1989, vol. 2, pp. 16-17.</w:t>
      </w:r>
      <w:r w:rsidRPr="001627D8">
        <w:t xml:space="preserve"> </w:t>
      </w:r>
    </w:p>
  </w:footnote>
  <w:footnote w:id="2">
    <w:p w:rsidR="001627D8" w:rsidRPr="001627D8" w:rsidRDefault="001627D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ibid., p. 17.</w:t>
      </w:r>
    </w:p>
  </w:footnote>
  <w:footnote w:id="3">
    <w:p w:rsidR="001627D8" w:rsidRPr="001627D8" w:rsidRDefault="001627D8" w:rsidP="001627D8">
      <w:pPr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D</w:t>
      </w:r>
      <w:r w:rsidR="00AC2312">
        <w:rPr>
          <w:rFonts w:ascii="Times New Roman" w:hAnsi="Times New Roman"/>
          <w:sz w:val="17"/>
          <w:szCs w:val="17"/>
        </w:rPr>
        <w:t>avid</w:t>
      </w:r>
      <w:r>
        <w:rPr>
          <w:rFonts w:ascii="Times New Roman" w:hAnsi="Times New Roman"/>
          <w:sz w:val="17"/>
          <w:szCs w:val="17"/>
        </w:rPr>
        <w:t xml:space="preserve"> Uze</w:t>
      </w:r>
      <w:r w:rsidR="00AC2312">
        <w:rPr>
          <w:rFonts w:ascii="Times New Roman" w:hAnsi="Times New Roman"/>
          <w:sz w:val="17"/>
          <w:szCs w:val="17"/>
        </w:rPr>
        <w:t>ll</w:t>
      </w:r>
      <w:r>
        <w:rPr>
          <w:rFonts w:ascii="Times New Roman" w:hAnsi="Times New Roman"/>
          <w:sz w:val="17"/>
          <w:szCs w:val="17"/>
        </w:rPr>
        <w:t>, 'Introduction: The natural and built environment', in ibid., vol. 1, p. 3.</w:t>
      </w:r>
    </w:p>
  </w:footnote>
  <w:footnote w:id="4">
    <w:p w:rsidR="001627D8" w:rsidRDefault="001627D8" w:rsidP="001627D8">
      <w:pPr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The implications</w:t>
      </w:r>
      <w:r w:rsidR="00E8193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for the emerging market</w:t>
      </w:r>
      <w:r w:rsidR="00E8193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for Tasmanian tourism, </w:t>
      </w:r>
      <w:r>
        <w:rPr>
          <w:rFonts w:ascii="Times New Roman" w:hAnsi="Times New Roman"/>
          <w:sz w:val="17"/>
          <w:szCs w:val="17"/>
        </w:rPr>
        <w:t>Hobart, Tourism Tasmania,</w:t>
      </w:r>
    </w:p>
    <w:p w:rsidR="001627D8" w:rsidRPr="001627D8" w:rsidRDefault="001627D8" w:rsidP="001627D8">
      <w:pPr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1990, pp. 36-7.</w:t>
      </w:r>
    </w:p>
  </w:footnote>
  <w:footnote w:id="5">
    <w:p w:rsidR="00E81931" w:rsidRPr="00E81931" w:rsidRDefault="00E8193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R. Hewison, 'Heritage: an interpretation', in UzeH, vol. 1, pp. 21-2.</w:t>
      </w:r>
    </w:p>
  </w:footnote>
  <w:footnote w:id="6">
    <w:p w:rsidR="00E81931" w:rsidRPr="00E81931" w:rsidRDefault="00E8193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From information provided by Tourism Tasmania.</w:t>
      </w:r>
    </w:p>
  </w:footnote>
  <w:footnote w:id="7">
    <w:p w:rsidR="00C9072E" w:rsidRPr="00C9072E" w:rsidRDefault="00C9072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 xml:space="preserve">1. Jackson, </w:t>
      </w:r>
      <w:r>
        <w:rPr>
          <w:rFonts w:ascii="Times New Roman" w:hAnsi="Times New Roman"/>
          <w:i/>
          <w:iCs/>
          <w:sz w:val="18"/>
          <w:szCs w:val="18"/>
        </w:rPr>
        <w:t xml:space="preserve">An introduction to tourism, </w:t>
      </w:r>
      <w:r>
        <w:rPr>
          <w:rFonts w:ascii="Times New Roman" w:hAnsi="Times New Roman"/>
          <w:sz w:val="17"/>
          <w:szCs w:val="17"/>
        </w:rPr>
        <w:t>Melbourne, Hospitality Press, 1989, p. 112.</w:t>
      </w:r>
    </w:p>
  </w:footnote>
  <w:footnote w:id="8">
    <w:p w:rsidR="00C9072E" w:rsidRPr="00C9072E" w:rsidRDefault="00C9072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ibid., pp. 112-13.</w:t>
      </w:r>
    </w:p>
  </w:footnote>
  <w:footnote w:id="9">
    <w:p w:rsidR="00C9072E" w:rsidRPr="00F27217" w:rsidRDefault="00C9072E" w:rsidP="00F27217">
      <w:pPr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T. </w:t>
      </w:r>
      <w:r>
        <w:rPr>
          <w:rFonts w:ascii="Times New Roman" w:hAnsi="Times New Roman"/>
          <w:sz w:val="17"/>
          <w:szCs w:val="17"/>
        </w:rPr>
        <w:t xml:space="preserve">Griffiths, </w:t>
      </w:r>
      <w:r>
        <w:rPr>
          <w:rFonts w:ascii="Times New Roman" w:hAnsi="Times New Roman"/>
          <w:i/>
          <w:iCs/>
          <w:sz w:val="18"/>
          <w:szCs w:val="18"/>
        </w:rPr>
        <w:t xml:space="preserve">Beechworth: an Australian countly town and its past, </w:t>
      </w:r>
      <w:r>
        <w:rPr>
          <w:rFonts w:ascii="Times New Roman" w:hAnsi="Times New Roman"/>
          <w:sz w:val="17"/>
          <w:szCs w:val="17"/>
        </w:rPr>
        <w:t>Melbourne, Greenhouse, 1987, p. 79.</w:t>
      </w:r>
    </w:p>
  </w:footnote>
  <w:footnote w:id="10">
    <w:p w:rsidR="00C9072E" w:rsidRPr="00C9072E" w:rsidRDefault="00C9072E" w:rsidP="00C9072E">
      <w:pPr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J. </w:t>
      </w:r>
      <w:r>
        <w:rPr>
          <w:rFonts w:ascii="Times New Roman" w:hAnsi="Times New Roman"/>
          <w:sz w:val="17"/>
          <w:szCs w:val="17"/>
        </w:rPr>
        <w:t xml:space="preserve">Craik, </w:t>
      </w:r>
      <w:r>
        <w:rPr>
          <w:rFonts w:ascii="Times New Roman" w:hAnsi="Times New Roman"/>
          <w:i/>
          <w:iCs/>
          <w:sz w:val="18"/>
          <w:szCs w:val="18"/>
        </w:rPr>
        <w:t xml:space="preserve">Resorting to tourism, </w:t>
      </w:r>
      <w:r>
        <w:rPr>
          <w:rFonts w:ascii="Times New Roman" w:hAnsi="Times New Roman"/>
          <w:sz w:val="17"/>
          <w:szCs w:val="17"/>
        </w:rPr>
        <w:t xml:space="preserve">Sydney, Allen </w:t>
      </w:r>
      <w:r>
        <w:rPr>
          <w:rFonts w:ascii="Arial" w:hAnsi="Arial" w:cs="Arial"/>
          <w:sz w:val="16"/>
          <w:szCs w:val="16"/>
        </w:rPr>
        <w:t xml:space="preserve">&amp; </w:t>
      </w:r>
      <w:r>
        <w:rPr>
          <w:rFonts w:ascii="Times New Roman" w:hAnsi="Times New Roman"/>
          <w:sz w:val="17"/>
          <w:szCs w:val="17"/>
        </w:rPr>
        <w:t>Unwin, 1991, pp. 79-80.</w:t>
      </w:r>
    </w:p>
  </w:footnote>
  <w:footnote w:id="11">
    <w:p w:rsidR="00C9072E" w:rsidRPr="00C9072E" w:rsidRDefault="00C9072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Griffiths, pp. 89-91.</w:t>
      </w:r>
    </w:p>
  </w:footnote>
  <w:footnote w:id="12">
    <w:p w:rsidR="00A22C8D" w:rsidRPr="00A22C8D" w:rsidRDefault="00A22C8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ibid., pp. 95-8.</w:t>
      </w:r>
    </w:p>
  </w:footnote>
  <w:footnote w:id="13">
    <w:p w:rsidR="00A22C8D" w:rsidRPr="00A22C8D" w:rsidRDefault="00A22C8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7"/>
          <w:szCs w:val="17"/>
        </w:rPr>
        <w:t>Cossons, p. 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472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3F7" w:rsidRDefault="002663F7" w:rsidP="002663F7">
        <w:pPr>
          <w:pStyle w:val="Header"/>
        </w:pPr>
        <w:r>
          <w:t>Whose Past? Whose Present?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34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0E7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18F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C0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2A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0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08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8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F6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266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8D"/>
    <w:rsid w:val="00056E28"/>
    <w:rsid w:val="001627D8"/>
    <w:rsid w:val="0023064D"/>
    <w:rsid w:val="002663F7"/>
    <w:rsid w:val="00325307"/>
    <w:rsid w:val="003617A6"/>
    <w:rsid w:val="00366576"/>
    <w:rsid w:val="003D471F"/>
    <w:rsid w:val="00554554"/>
    <w:rsid w:val="00592418"/>
    <w:rsid w:val="005A1C24"/>
    <w:rsid w:val="005E4ACD"/>
    <w:rsid w:val="00665E83"/>
    <w:rsid w:val="007A1697"/>
    <w:rsid w:val="008805E5"/>
    <w:rsid w:val="00970F75"/>
    <w:rsid w:val="00A10DCC"/>
    <w:rsid w:val="00A22C8D"/>
    <w:rsid w:val="00AC2312"/>
    <w:rsid w:val="00C9072E"/>
    <w:rsid w:val="00DD128D"/>
    <w:rsid w:val="00E81931"/>
    <w:rsid w:val="00E85098"/>
    <w:rsid w:val="00F27217"/>
    <w:rsid w:val="00F90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AA266-CC23-49CD-810A-147A350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76"/>
    <w:pPr>
      <w:spacing w:after="120"/>
    </w:pPr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128D"/>
    <w:pPr>
      <w:keepNext/>
      <w:keepLines/>
      <w:spacing w:after="400"/>
      <w:jc w:val="center"/>
      <w:outlineLvl w:val="0"/>
    </w:pPr>
    <w:rPr>
      <w:rFonts w:ascii="Palatino" w:eastAsia="SimSun" w:hAnsi="Palatino" w:cstheme="minorBidi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128D"/>
    <w:pPr>
      <w:keepNext/>
      <w:keepLines/>
      <w:spacing w:before="200" w:after="0"/>
      <w:jc w:val="center"/>
      <w:outlineLvl w:val="1"/>
    </w:pPr>
    <w:rPr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128D"/>
    <w:pPr>
      <w:keepNext/>
      <w:keepLines/>
      <w:spacing w:before="200" w:after="0"/>
      <w:outlineLvl w:val="2"/>
    </w:pPr>
    <w:rPr>
      <w:rFonts w:ascii="Palatino" w:eastAsia="SimSun" w:hAnsi="Palatino" w:cstheme="minorBidi"/>
      <w:b/>
      <w:bCs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28D"/>
    <w:pPr>
      <w:keepNext/>
      <w:keepLines/>
      <w:spacing w:before="200" w:after="0"/>
      <w:outlineLvl w:val="3"/>
    </w:pPr>
    <w:rPr>
      <w:rFonts w:ascii="Palatino" w:hAnsi="Palatino"/>
      <w:b/>
      <w:bCs/>
      <w:i/>
      <w:i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28D"/>
    <w:pPr>
      <w:keepNext/>
      <w:keepLines/>
      <w:spacing w:before="200" w:after="0"/>
      <w:outlineLvl w:val="4"/>
    </w:pPr>
    <w:rPr>
      <w:rFonts w:ascii="Palatino" w:hAnsi="Palatino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28D"/>
    <w:pPr>
      <w:keepNext/>
      <w:keepLines/>
      <w:spacing w:before="200" w:after="0"/>
      <w:outlineLvl w:val="5"/>
    </w:pPr>
    <w:rPr>
      <w:rFonts w:ascii="Palatino" w:hAnsi="Palatino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28D"/>
    <w:pPr>
      <w:keepNext/>
      <w:keepLines/>
      <w:spacing w:before="200" w:after="0"/>
      <w:outlineLvl w:val="6"/>
    </w:pPr>
    <w:rPr>
      <w:rFonts w:ascii="Palatino" w:hAnsi="Palatino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28D"/>
    <w:pPr>
      <w:keepNext/>
      <w:keepLines/>
      <w:spacing w:before="200" w:after="0"/>
      <w:outlineLvl w:val="7"/>
    </w:pPr>
    <w:rPr>
      <w:rFonts w:ascii="Palatino" w:hAnsi="Palatino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28D"/>
    <w:pPr>
      <w:keepNext/>
      <w:keepLines/>
      <w:spacing w:before="200" w:after="0"/>
      <w:outlineLvl w:val="8"/>
    </w:pPr>
    <w:rPr>
      <w:rFonts w:ascii="Palatino" w:hAnsi="Palatino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FE4E2B"/>
    <w:pPr>
      <w:spacing w:after="0"/>
    </w:pPr>
    <w:rPr>
      <w:sz w:val="20"/>
      <w:lang w:val="en-US"/>
    </w:rPr>
  </w:style>
  <w:style w:type="character" w:customStyle="1" w:styleId="FootnoteTextChar">
    <w:name w:val="Footnote Text Char"/>
    <w:link w:val="FootnoteText"/>
    <w:rsid w:val="00FE4E2B"/>
    <w:rPr>
      <w:rFonts w:ascii="Palatino Linotype" w:hAnsi="Palatino Linotype" w:cs="Times New Roman"/>
      <w:sz w:val="20"/>
      <w:lang w:val="en-US" w:eastAsia="en-AU"/>
    </w:rPr>
  </w:style>
  <w:style w:type="paragraph" w:styleId="Footer">
    <w:name w:val="footer"/>
    <w:basedOn w:val="Normal"/>
    <w:link w:val="FooterChar"/>
    <w:autoRedefine/>
    <w:uiPriority w:val="99"/>
    <w:unhideWhenUsed/>
    <w:rsid w:val="00E85098"/>
    <w:pPr>
      <w:tabs>
        <w:tab w:val="center" w:pos="4513"/>
        <w:tab w:val="right" w:pos="9026"/>
      </w:tabs>
      <w:spacing w:after="0"/>
    </w:pPr>
    <w:rPr>
      <w:rFonts w:eastAsia="Times" w:cs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5098"/>
    <w:rPr>
      <w:rFonts w:ascii="Palatino Linotype" w:eastAsia="Times" w:hAnsi="Palatino Linotype"/>
      <w:sz w:val="16"/>
    </w:rPr>
  </w:style>
  <w:style w:type="character" w:customStyle="1" w:styleId="Heading1Char">
    <w:name w:val="Heading 1 Char"/>
    <w:link w:val="Heading1"/>
    <w:uiPriority w:val="9"/>
    <w:rsid w:val="00DD128D"/>
    <w:rPr>
      <w:rFonts w:ascii="Palatino" w:eastAsia="SimSun" w:hAnsi="Palatino" w:cstheme="minorBidi"/>
      <w:b/>
      <w:bCs/>
      <w:color w:val="000000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28D"/>
    <w:rPr>
      <w:rFonts w:ascii="Calibri" w:hAnsi="Calibri" w:cstheme="minorBid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DD128D"/>
    <w:rPr>
      <w:rFonts w:cstheme="minorBidi"/>
      <w:i/>
      <w:iCs/>
      <w:color w:val="000000"/>
    </w:rPr>
  </w:style>
  <w:style w:type="character" w:customStyle="1" w:styleId="Heading3Char">
    <w:name w:val="Heading 3 Char"/>
    <w:link w:val="Heading3"/>
    <w:uiPriority w:val="9"/>
    <w:rsid w:val="00DD128D"/>
    <w:rPr>
      <w:rFonts w:ascii="Palatino" w:eastAsia="SimSun" w:hAnsi="Palatino" w:cstheme="minorBidi"/>
      <w:b/>
      <w:bCs/>
      <w:color w:val="000000"/>
      <w:sz w:val="28"/>
    </w:rPr>
  </w:style>
  <w:style w:type="paragraph" w:customStyle="1" w:styleId="Normalcentred">
    <w:name w:val="Normal centred"/>
    <w:basedOn w:val="Normal"/>
    <w:autoRedefine/>
    <w:rsid w:val="0023064D"/>
    <w:pPr>
      <w:jc w:val="center"/>
    </w:pPr>
    <w:rPr>
      <w:rFonts w:eastAsia="Symbol" w:cs="Symbol"/>
      <w:lang w:eastAsia="zh-CN" w:bidi="hi-IN"/>
    </w:rPr>
  </w:style>
  <w:style w:type="paragraph" w:customStyle="1" w:styleId="NormalCentred0">
    <w:name w:val="Normal Centred"/>
    <w:basedOn w:val="Normal"/>
    <w:autoRedefine/>
    <w:rsid w:val="00FE4E2B"/>
    <w:rPr>
      <w:rFonts w:eastAsia="Times"/>
    </w:rPr>
  </w:style>
  <w:style w:type="paragraph" w:styleId="Header">
    <w:name w:val="header"/>
    <w:basedOn w:val="Normal"/>
    <w:link w:val="HeaderChar"/>
    <w:autoRedefine/>
    <w:uiPriority w:val="99"/>
    <w:rsid w:val="00E85098"/>
    <w:pPr>
      <w:tabs>
        <w:tab w:val="center" w:pos="4320"/>
        <w:tab w:val="right" w:pos="8640"/>
      </w:tabs>
      <w:spacing w:after="0"/>
    </w:pPr>
    <w:rPr>
      <w:rFonts w:cstheme="minorBidi"/>
      <w:sz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5098"/>
    <w:rPr>
      <w:rFonts w:ascii="Palatino Linotype" w:hAnsi="Palatino Linotype"/>
      <w:sz w:val="16"/>
      <w:lang w:val="en-US"/>
    </w:rPr>
  </w:style>
  <w:style w:type="paragraph" w:customStyle="1" w:styleId="Heading3Italic">
    <w:name w:val="Heading 3 + Italic"/>
    <w:basedOn w:val="Heading3"/>
    <w:link w:val="Heading3ItalicChar"/>
    <w:autoRedefine/>
    <w:qFormat/>
    <w:rsid w:val="00DD128D"/>
    <w:rPr>
      <w:rFonts w:eastAsia="Times New Roman" w:cs="Arial"/>
      <w:i/>
      <w:iCs/>
      <w:color w:val="auto"/>
      <w:sz w:val="24"/>
      <w:szCs w:val="26"/>
      <w:lang w:bidi="en-US"/>
    </w:rPr>
  </w:style>
  <w:style w:type="character" w:customStyle="1" w:styleId="Heading3ItalicChar">
    <w:name w:val="Heading 3 + Italic Char"/>
    <w:link w:val="Heading3Italic"/>
    <w:rsid w:val="00DD128D"/>
    <w:rPr>
      <w:rFonts w:ascii="Palatino" w:hAnsi="Palatino" w:cs="Arial"/>
      <w:b/>
      <w:bCs/>
      <w:i/>
      <w:iCs/>
      <w:sz w:val="24"/>
      <w:szCs w:val="26"/>
      <w:lang w:bidi="en-US"/>
    </w:rPr>
  </w:style>
  <w:style w:type="paragraph" w:customStyle="1" w:styleId="Indentedlist">
    <w:name w:val="Indented list"/>
    <w:basedOn w:val="Normal"/>
    <w:link w:val="IndentedlistChar"/>
    <w:autoRedefine/>
    <w:qFormat/>
    <w:rsid w:val="00DD128D"/>
    <w:pPr>
      <w:spacing w:after="0"/>
      <w:ind w:left="2268"/>
    </w:pPr>
    <w:rPr>
      <w:sz w:val="20"/>
      <w:szCs w:val="20"/>
    </w:rPr>
  </w:style>
  <w:style w:type="character" w:customStyle="1" w:styleId="IndentedlistChar">
    <w:name w:val="Indented list Char"/>
    <w:link w:val="Indentedlist"/>
    <w:rsid w:val="00DD128D"/>
    <w:rPr>
      <w:rFonts w:ascii="Palatino Linotype" w:hAnsi="Palatino Linotype"/>
    </w:rPr>
  </w:style>
  <w:style w:type="paragraph" w:customStyle="1" w:styleId="Style1">
    <w:name w:val="Style1"/>
    <w:basedOn w:val="Normal"/>
    <w:qFormat/>
    <w:rsid w:val="00DD128D"/>
    <w:pPr>
      <w:spacing w:after="160" w:line="720" w:lineRule="atLeast"/>
    </w:pPr>
    <w:rPr>
      <w:rFonts w:ascii="Palatino" w:hAnsi="Palatino"/>
    </w:rPr>
  </w:style>
  <w:style w:type="character" w:customStyle="1" w:styleId="Heading2Char">
    <w:name w:val="Heading 2 Char"/>
    <w:link w:val="Heading2"/>
    <w:uiPriority w:val="9"/>
    <w:rsid w:val="00DD128D"/>
    <w:rPr>
      <w:rFonts w:ascii="Palatino Linotype" w:hAnsi="Palatino Linotype"/>
      <w:bCs/>
      <w:color w:val="000000"/>
      <w:sz w:val="32"/>
      <w:szCs w:val="26"/>
    </w:rPr>
  </w:style>
  <w:style w:type="character" w:customStyle="1" w:styleId="Heading4Char">
    <w:name w:val="Heading 4 Char"/>
    <w:link w:val="Heading4"/>
    <w:uiPriority w:val="9"/>
    <w:semiHidden/>
    <w:rsid w:val="00DD128D"/>
    <w:rPr>
      <w:rFonts w:ascii="Palatino" w:hAnsi="Palatino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DD128D"/>
    <w:rPr>
      <w:rFonts w:ascii="Palatino" w:hAnsi="Palatino"/>
      <w:color w:val="000000"/>
    </w:rPr>
  </w:style>
  <w:style w:type="character" w:customStyle="1" w:styleId="Heading6Char">
    <w:name w:val="Heading 6 Char"/>
    <w:link w:val="Heading6"/>
    <w:uiPriority w:val="9"/>
    <w:semiHidden/>
    <w:rsid w:val="00DD128D"/>
    <w:rPr>
      <w:rFonts w:ascii="Palatino" w:hAnsi="Palatino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D128D"/>
    <w:rPr>
      <w:rFonts w:ascii="Palatino" w:hAnsi="Palatino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D128D"/>
    <w:rPr>
      <w:rFonts w:ascii="Palatino" w:hAnsi="Palatino"/>
      <w:color w:val="4F81BD"/>
    </w:rPr>
  </w:style>
  <w:style w:type="character" w:customStyle="1" w:styleId="Heading9Char">
    <w:name w:val="Heading 9 Char"/>
    <w:link w:val="Heading9"/>
    <w:uiPriority w:val="9"/>
    <w:semiHidden/>
    <w:rsid w:val="00DD128D"/>
    <w:rPr>
      <w:rFonts w:ascii="Palatino" w:hAnsi="Palatino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128D"/>
    <w:rPr>
      <w:b/>
      <w:bCs/>
      <w:color w:val="4F81BD"/>
      <w:sz w:val="18"/>
      <w:szCs w:val="18"/>
    </w:rPr>
  </w:style>
  <w:style w:type="paragraph" w:styleId="EndnoteText">
    <w:name w:val="endnote text"/>
    <w:basedOn w:val="Normal"/>
    <w:link w:val="EndnoteTextChar"/>
    <w:autoRedefine/>
    <w:semiHidden/>
    <w:qFormat/>
    <w:rsid w:val="00DD128D"/>
    <w:pPr>
      <w:spacing w:after="0"/>
    </w:pPr>
    <w:rPr>
      <w:sz w:val="20"/>
      <w:szCs w:val="24"/>
    </w:rPr>
  </w:style>
  <w:style w:type="character" w:customStyle="1" w:styleId="EndnoteTextChar">
    <w:name w:val="Endnote Text Char"/>
    <w:link w:val="EndnoteText"/>
    <w:semiHidden/>
    <w:rsid w:val="00DD128D"/>
    <w:rPr>
      <w:rFonts w:ascii="Palatino Linotype" w:hAnsi="Palatino Linotype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128D"/>
    <w:pPr>
      <w:pBdr>
        <w:bottom w:val="single" w:sz="8" w:space="4" w:color="4F81BD"/>
      </w:pBdr>
      <w:spacing w:after="300"/>
      <w:contextualSpacing/>
      <w:jc w:val="center"/>
    </w:pPr>
    <w:rPr>
      <w:rFonts w:ascii="Palatino" w:hAnsi="Palatino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128D"/>
    <w:rPr>
      <w:rFonts w:ascii="Palatino" w:hAnsi="Palatino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28D"/>
    <w:pPr>
      <w:numPr>
        <w:ilvl w:val="1"/>
      </w:numPr>
    </w:pPr>
    <w:rPr>
      <w:rFonts w:ascii="Palatino" w:hAnsi="Palatino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D128D"/>
    <w:rPr>
      <w:rFonts w:ascii="Palatino" w:hAnsi="Palatino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DD128D"/>
    <w:rPr>
      <w:b/>
      <w:bCs/>
    </w:rPr>
  </w:style>
  <w:style w:type="character" w:styleId="Emphasis">
    <w:name w:val="Emphasis"/>
    <w:uiPriority w:val="20"/>
    <w:qFormat/>
    <w:rsid w:val="00DD128D"/>
    <w:rPr>
      <w:i/>
      <w:iCs/>
    </w:rPr>
  </w:style>
  <w:style w:type="paragraph" w:styleId="NoSpacing">
    <w:name w:val="No Spacing"/>
    <w:uiPriority w:val="1"/>
    <w:qFormat/>
    <w:rsid w:val="00DD12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128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28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D128D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D128D"/>
    <w:rPr>
      <w:i/>
      <w:iCs/>
      <w:color w:val="808080"/>
    </w:rPr>
  </w:style>
  <w:style w:type="character" w:styleId="IntenseEmphasis">
    <w:name w:val="Intense Emphasis"/>
    <w:uiPriority w:val="21"/>
    <w:qFormat/>
    <w:rsid w:val="00DD128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D128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D128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D128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28D"/>
    <w:pPr>
      <w:outlineLvl w:val="9"/>
    </w:pPr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627D8"/>
    <w:rPr>
      <w:rFonts w:ascii="Palatino Linotype" w:hAnsi="Palatino Linotype"/>
      <w:sz w:val="20"/>
      <w:vertAlign w:val="superscript"/>
    </w:rPr>
  </w:style>
  <w:style w:type="paragraph" w:customStyle="1" w:styleId="Normalquote">
    <w:name w:val="Normal quote"/>
    <w:basedOn w:val="Normal"/>
    <w:autoRedefine/>
    <w:qFormat/>
    <w:rsid w:val="00366576"/>
    <w:pPr>
      <w:ind w:left="1134" w:right="1134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7D8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2312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86E7-4F61-4AAA-A3B1-3A7174CE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3806</Words>
  <Characters>21695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Whose Past? – Whose Present?</vt:lpstr>
      <vt:lpstr>    Tourism and Local History</vt:lpstr>
      <vt:lpstr>    Peter Macfie</vt:lpstr>
      <vt:lpstr>Index</vt:lpstr>
    </vt:vector>
  </TitlesOfParts>
  <Company/>
  <LinksUpToDate>false</LinksUpToDate>
  <CharactersWithSpaces>25451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Horton</dc:creator>
  <cp:keywords/>
  <dc:description/>
  <cp:lastModifiedBy>Jan Horton</cp:lastModifiedBy>
  <cp:revision>6</cp:revision>
  <dcterms:created xsi:type="dcterms:W3CDTF">2018-06-03T23:50:00Z</dcterms:created>
  <dcterms:modified xsi:type="dcterms:W3CDTF">2018-06-04T01:55:00Z</dcterms:modified>
</cp:coreProperties>
</file>